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RR.2015.16 vom 16. Juli 2015</w:t>
      </w:r>
    </w:p>
    <w:p>
      <w:r>
        <w:t>Bundesstrafgericht, 2015-07-16, FR</w:t>
      </w:r>
    </w:p>
    <w:p>
      <w:r>
        <w:rPr>
          <w:b/>
        </w:rPr>
        <w:t xml:space="preserve">Quelle: </w:t>
      </w:r>
      <w:r>
        <w:t>https://mcp.opencaselaw.ch/entscheid/bstger_RR.2015.16</w:t>
      </w:r>
    </w:p>
    <w:p>
      <w:r>
        <w:t>FR: TPF RR.2015.16 du 16 juillet 2015</w:t>
      </w:r>
    </w:p>
    <w:p>
      <w:r>
        <w:t>IT: TPF RR.2015.16 del 16 luglio 2015</w:t>
      </w:r>
    </w:p>
    <w:p>
      <w:pPr>
        <w:pStyle w:val="Heading2"/>
      </w:pPr>
      <w:r>
        <w:t>Regeste</w:t>
      </w:r>
    </w:p>
    <w:p>
      <w:r>
        <w:t>Entraide judiciaire internationale en matière pénale à l'Espagne. Remise de moyens de preuve (art. 74 EIMP).</w:t>
      </w:r>
    </w:p>
    <w:p>
      <w:pPr>
        <w:pStyle w:val="Heading2"/>
      </w:pPr>
      <w:r>
        <w:t>Erwägungen</w:t>
      </w:r>
    </w:p>
    <w:p>
      <w:r>
        <w:rPr>
          <w:b/>
        </w:rPr>
        <w:t>E. 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internationale en matière pénale [EIMP; RS 351.1], mis en relation avec l'art. 37 al. 2 let. a ch. 1 de la loi fédérale sur l'organisation des autorités pénales de la Confédération [LOAP; RS 173.71].</w:t>
      </w:r>
    </w:p>
    <w:p>
      <w:r>
        <w:rPr>
          <w:b/>
        </w:rPr>
        <w:t>E. 2</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s’appliquent également à l’entraide pénale entre ces deux Etats. Peut également s’appliquer en l’occurrence la Convention du Conseil de l’Europe relative au blanchiment, au dépistage, à la saisie et à la confiscation des produits du crime (CBl; RS 0.311.53). Les dispositions de ces traités l’emportent sur le droit autonome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 traité et lorsqu’il est plus favorable à l’entraide (ATF 137 IV 33 consid. 2.2.2; 136 IV 82 consid. 3.1;</w:t>
      </w:r>
    </w:p>
    <w:p>
      <w:r>
        <w:t>- 4 -</w:t>
      </w:r>
    </w:p>
    <w:p>
      <w:r>
        <w:t>arrêt du Tribunal pénal fédéral RR.2010.9 du 15 avril 2010, consid. 1.3), ce qui est valable aussi dans le rapport entre elles des normes internationales (v. art. 48 ch. 2 CAAS et 39 ch. 2 CBl). L’application de la norme la plus favorable doit avoir lieu dans le respect des droits fondamentaux (ATF 135 IV 212 consid. 2.3; 123 II 595 consid. 7c).</w:t>
      </w:r>
    </w:p>
    <w:p>
      <w:r>
        <w:rPr>
          <w:b/>
        </w:rPr>
        <w:t>E. 3.1</w:t>
      </w:r>
    </w:p>
    <w:p>
      <w:r>
        <w:t>A. et B. SA, en tant que titulaires respectifs de comptes bancaires visés par deux des décisions entreprises, ont qualité pour attaquer celles-ci.</w:t>
      </w:r>
    </w:p>
    <w:p>
      <w:r>
        <w:t>En revanche, ils ne sont pas habilités à recourir contre la décision de clôture visant D., fondation dissoute le 29 octobre 2009 (act. 1.45). Effectivement, les conditions auxquelles la jurisprudence admet la qualité pour agir de l'ayant droit d'une société – respectivement d'une fondation – dissoute (arrêt du Tribunal fédéral 1A.212/2001 du 21 mars 2002, consid. 1.3; arrêt du Tribunal pénal fédéral RR.2013.33 du 29 juillet 2013, consid. 2) ne sont pas réunies dès lors que le dossier ne contient aucun acte officiel ou autre moyen de preuve désignant les prénommés, à titre individuel ou collectif, comme bénéficiaires de l'ensemble des avoirs de la personne morale en question. Les conclusions du recours tendant à l'annulation de la décision qui ordonne la transmission de la documentation relative à des comptes détenus par D. sont ainsi irrecevables.</w:t>
      </w:r>
    </w:p>
    <w:p>
      <w:r>
        <w:rPr>
          <w:b/>
        </w:rPr>
        <w:t>E. 3.2</w:t>
      </w:r>
    </w:p>
    <w:p>
      <w:r>
        <w:t>Interjeté le lundi 12 janvier 2015 contre des décisions notifiées le 11 décembre 2014, le recour l'a été en temps utile (art. 80k EIMP).</w:t>
      </w:r>
    </w:p>
    <w:p>
      <w:r>
        <w:rPr>
          <w:b/>
        </w:rPr>
        <w:t>E. 3.3</w:t>
      </w:r>
    </w:p>
    <w:p>
      <w:r>
        <w:t>Dans les limites qui viennent d'être précisées, il y a donc lieu d'entrer en matière.</w:t>
      </w:r>
    </w:p>
    <w:p>
      <w:r>
        <w:rPr>
          <w:b/>
        </w:rPr>
        <w:t>E. 4.1</w:t>
      </w:r>
    </w:p>
    <w:p>
      <w:r>
        <w:t>Les recourants dénoncent une violation du principe de la proportionnalité, en relation avec l'art. 3 EIMP, et de celui de la bonne foi entre Etats, en lien avec l'art. 63 EIMP. Selon eux, les documents dont la transmission a été ordonnée dans la décision litigieuse ne seraient pas susceptibles de renseigner les autorités espagnoles sur les faits reprochés à A. pour lesquels l'entraide a été accordée à la suite de la demande de 2009 et de ses compléments, qui correspondent en droit suisse aux délits de faux dans les titres, corruption et blanchiment d'argent. Ils ne pourraient présenter une quelconque utilité que dans le cadre de la répression de délits fiscaux menée en Espagne contre</w:t>
      </w:r>
    </w:p>
    <w:p>
      <w:r>
        <w:t>- 5 -</w:t>
      </w:r>
    </w:p>
    <w:p>
      <w:r>
        <w:t>A., catégorie d'infractions pour laquelle l'art. 3 EIMP exclut l'entraide; la volonté d'utiliser les pièces en question dans ce contexte ressortirait du reste clairement de la demande d'entraide.</w:t>
      </w:r>
    </w:p>
    <w:p>
      <w:r>
        <w:t>Par ailleurs, les autorités espagnoles auraient déjà utilisé pour la poursuite de délits fiscaux à l'encontre du prénommé certains documents fournis par la Suisse à la suite de demandes d'entraide, alors qu'elles auraient dû s'en abstenir compte tenu de ce qui précède et du fait que la remise de moyens de preuve a été subordonnée, dans toutes les décisions d'entraide, au respect du principe de la spécialité; un tel comportement violerait la bonne foi devant prévaloir dans les relations entre Etats et, partant, justifierait aussi le refus de l'entraide sollicitée.</w:t>
      </w:r>
    </w:p>
    <w:p>
      <w:r>
        <w:rPr>
          <w:b/>
        </w:rPr>
        <w:t>E. 4.2</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w:t>
      </w:r>
    </w:p>
    <w:p>
      <w:r>
        <w:rPr>
          <w:b/>
        </w:rPr>
        <w:t>E. 4.3</w:t>
      </w:r>
    </w:p>
    <w:p>
      <w:r>
        <w:t>Aux termes de l'art. 3 al. 3 EIMP, la demande d'entraide est irrecevable, notamment, si la procédure vise un acte qui paraît tendre à diminuer des recettes fiscales; suite peut en revanche être donnée à une demande qui vise une escroquerie en matière fiscale au sens de la troisième partie de l'EIMP ou une escroquerie fiscale qualifiée au sens de la DPA.</w:t>
      </w:r>
    </w:p>
    <w:p>
      <w:r>
        <w:rPr>
          <w:b/>
        </w:rPr>
        <w:t>E. 4.4.1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w:t>
      </w:r>
    </w:p>
    <w:p>
      <w:r>
        <w:t>- 6 -</w:t>
      </w:r>
    </w:p>
    <w:p>
      <w:r>
        <w:t>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 e éd., Berne 2014, n° 723, p. 748 s.).</w:t>
      </w:r>
    </w:p>
    <w:p>
      <w:r>
        <w:rPr>
          <w:b/>
        </w:rPr>
        <w:t>E. 4.4.2</w:t>
      </w:r>
    </w:p>
    <w:p>
      <w:r>
        <w:t>S'agissant des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w:t>
      </w:r>
    </w:p>
    <w:p>
      <w:r>
        <w:t>- 7 -</w:t>
      </w:r>
    </w:p>
    <w:p>
      <w:r>
        <w:t>1A.259/2006 du 26 janvier 2007, consid. 2.2; 1A.75/2006 du 20 juin 2006, consid. 3.2; 1A.79/2005 du 27 avril 2005, consid. 4.2; 1A.59/2005 du 26 avril 2005, consid. 6.2).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RR.2008.287 du</w:t>
      </w:r>
    </w:p>
    <w:p>
      <w:r>
        <w:rPr>
          <w:b/>
        </w:rPr>
        <w:t>E. 4.5.1</w:t>
      </w:r>
    </w:p>
    <w:p>
      <w:r>
        <w:t>La demande d'entraide formulée en 2009 par le Tribunal central d’instruction n° 5 de l'Audiencia Nacional de Madrid fait suite à l'ouverture l'année précédente d'une enquête contre C. Celui-ci était alors à la tête d'un vaste réseau de sociétés qui auraient obtenu des bénéfices illicites en Espagne, notamment par l'octroi irrégulier de marchés publics avec l'aide – fournie contre rémunération – de politiciens au nombre desquels figurait A. Les investigations menées depuis lors tendent notamment à retracer et analyser d'innombrables flux financiers quittant l'Espagne puis retournant dans ce pays par le biais de sociétés écrans destinées à en dissimuler l'origine illicite. Au cours de l'enquête, pas moins de 120 personnes ont été prévenues d'une dizaine d'infractions au total. Dans ce contexte, les autorités suisses ont répondu favorablement à toutes les demandes complémentaires de l'Etat requérant, par lesquelles celui-ci sollicitait la remise de nombreux documents concernant des comptes bancaires dont A. est le titulaire ou l'ayant droit économique.</w:t>
      </w:r>
    </w:p>
    <w:p>
      <w:r>
        <w:rPr>
          <w:b/>
        </w:rPr>
        <w:t>E. 4.5.2</w:t>
      </w:r>
    </w:p>
    <w:p>
      <w:r>
        <w:t>La documentation dont la transmission a été ordonnée dans les décisions litigieuses concerne des comptes détenus respectivement par A. et B. SA – société dont le prénommé est l'ayant droit économique. Ainsi, elle est incontestablement susceptible de présenter des liens avec les faits investigués par l'autorité requérante et s'inscrit dans la droite ligne de l'entraide sollicitée, et obtenue, par celle-ci depuis 2009. Il y a donc lieu de fournir l'entraide dans une mesure aussi large que possible, ce qui comprend la transmission des documents litigieux, d'autant que l'enquête espagnole est complexe et de grande ampleur. Le fait que la documentation en cause ait été établie à des fins fiscales, respectivement qu'elle pourrait s'avérer utile pour la poursuite d'infractions à caractère fiscal n'y change rien, étant précisé que les actes attaqués</w:t>
      </w:r>
    </w:p>
    <w:p>
      <w:r>
        <w:t>- 8 -</w:t>
      </w:r>
    </w:p>
    <w:p>
      <w:r>
        <w:t>réservent le principe de spécialité. C'est le lieu de relever que l'Etat requérant, saisi de doutes sur la licéité, au regard de ce principe, de l'utilisation qu'il envisageait de faire de pièces remises par la Suisse à la suite de décisions de clôture rendues en juin 2012, s'en est référé à l'OFJ (cf. arrêt du Tribunal pénal fédéral RR.2014.165-166). Cela montre bien que les autorités espagnoles sont, malgré les dénégations des recourants, tout à fait conscientes de la portée du principe de la spécialité et qu'elles entendent le respecter scrupuleusement.</w:t>
      </w:r>
    </w:p>
    <w:p>
      <w:r>
        <w:t>5. Compte tenu de ce qui précède, le recours doit être rejeté dans la mesure de sa recevabilité.</w:t>
      </w:r>
    </w:p>
    <w:p>
      <w:r>
        <w:t>6. En règle générale, les frais de procédure comprenant l'émolument d'arrêté, les émoluments de chancellerie et les débours sont mis à la charge de la partie qui succombe (art. 63 al. 1 de la loi fédérale sur la procédure administrative [PA; RS 172.021]). Le montant de l'émolument est calculé en fonction de l'ampleur et de la difficulté de la cause, de la façon de procéder des parties, de leur situation financière et des frais de chancellerie (art. 73 al. 2 LOAP). Les recourants, qui succombent, supporteront solidairement les frais du présent arrêt fixés à CHF 5'000.--, réputés couverts par l'avance de frais acquittée (art. 73 al. 2 LOAP et art. 8 al. 3 du règlement du Tribunal pénal fédéral sur les frais, émoluments, dépens et indemnités de la procédure pénale fédérale [RFPPF; RS 173.713.162] et art. 63 al. 5 PA).</w:t>
      </w:r>
    </w:p>
    <w:p>
      <w:r>
        <w:t>- 9 -</w:t>
      </w:r>
    </w:p>
    <w:p>
      <w:r>
        <w:rPr>
          <w:b/>
        </w:rPr>
        <w:t>E. 9</w:t>
      </w:r>
    </w:p>
    <w:p>
      <w:r>
        <w:t>avril 2009, consid. 2.2.4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