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RR.2015.157 vom 20. Juli 2015</w:t>
      </w:r>
    </w:p>
    <w:p>
      <w:r>
        <w:t>Bundesstrafgericht, 2015-07-20, DE</w:t>
      </w:r>
    </w:p>
    <w:p>
      <w:r>
        <w:rPr>
          <w:b/>
        </w:rPr>
        <w:t xml:space="preserve">Quelle: </w:t>
      </w:r>
      <w:r>
        <w:t>https://mcp.opencaselaw.ch/entscheid/bstger_RR.2015.157</w:t>
      </w:r>
    </w:p>
    <w:p>
      <w:r>
        <w:t>FR: TPF RR.2015.157 du 20 juillet 2015</w:t>
      </w:r>
    </w:p>
    <w:p>
      <w:r>
        <w:t>IT: TPF RR.2015.157 del 20 luglio 2015</w:t>
      </w:r>
    </w:p>
    <w:p>
      <w:pPr>
        <w:pStyle w:val="Heading2"/>
      </w:pPr>
      <w:r>
        <w:t>Regeste</w:t>
      </w:r>
    </w:p>
    <w:p>
      <w:r>
        <w:t>Auslieferung an die Ukraine. Auslieferung unter annahmebedürftigen Auflagen (Art. 55 Abs. 1 IRSG i.V.m. Art. 80p IRSG).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Mai 2015 vollumfänglich nachgekommen sind und eine wortwörtliche Ab- schrift der Garantien abgegeben haben (act. 5.8), was vom Beschwerdefüh- rer nicht bestritten wird;</w:t>
      </w:r>
    </w:p>
    <w:p>
      <w:r>
        <w:t>- formelle Mängel nicht vorliegen und derartige vom Beschwerdeführer auch nicht geltend gemacht werden;</w:t>
      </w:r>
    </w:p>
    <w:p>
      <w:r>
        <w:t>- die abgegebene Garantieerklärung damit den verlangten Auflagen genügt, weshalb die Beschwerde abzuweisen ist, soweit darauf einzutreten ist;</w:t>
      </w:r>
    </w:p>
    <w:p>
      <w:r>
        <w:t>- bei diesem Ausgang des Verfahrens der Beschwerdeführer kostenpflichtig wird (Art. 63 VwVG i.V.m. Art. 39 Abs. 2 lit. b StBOG), wobei für die Berech- nung der Gerichtsgebühr das BStKR (i.V.m. Art. 63 Abs. 5 VwVG) zur An- wendung gelangt; die Gerichtsgebühr vorliegend auf Fr. 3'000.-- festzuset- zen ist, unter Anrechnung des geleisteten Kostenvorschusses in gleicher Höhe.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