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RR.2015.133 vom 24. Juni 2015</w:t>
      </w:r>
    </w:p>
    <w:p>
      <w:r>
        <w:t>Bundesstrafgericht, 2015-06-24, DE</w:t>
      </w:r>
    </w:p>
    <w:p>
      <w:r>
        <w:rPr>
          <w:b/>
        </w:rPr>
        <w:t xml:space="preserve">Quelle: </w:t>
      </w:r>
      <w:r>
        <w:t>https://mcp.opencaselaw.ch/entscheid/bstger_RR.2015.133</w:t>
      </w:r>
    </w:p>
    <w:p>
      <w:r>
        <w:t>FR: TPF RR.2015.133 du 24 juin 2015</w:t>
      </w:r>
    </w:p>
    <w:p>
      <w:r>
        <w:t>IT: TPF RR.2015.133 del 24 giugno 2015</w:t>
      </w:r>
    </w:p>
    <w:p>
      <w:pPr>
        <w:pStyle w:val="Heading2"/>
      </w:pPr>
      <w:r>
        <w:t>Regeste</w:t>
      </w:r>
    </w:p>
    <w:p>
      <w:r>
        <w:t>Internationale Rechtshilfe in Strafsachen an Deutschland. Herausgabe von Beweismitteln (Art. 74 IRSG).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Februar 2015; RR.2013.354 vom 16. Januar 2014);</w:t>
      </w:r>
    </w:p>
    <w:p>
      <w:r>
        <w:t>- es sich bei der fehlenden Unterschrift bei Eingabe mittels Telefax gemäss konstanter Rechtsprechung grundsätzlich nicht um einen verbesserlichen Fehler im Sinne von Art. 52 Abs. 2 VwVG handelt und dem Beschwerdefüh- rer dementsprechend keine kurze Nachfrist zur Verbesserung einzuräumen ist (BGE 121 II 252 E. 4b S. 255; Entscheide des Bundesstrafgerichts RR.2015.4 vom 24. Februar 2015; RR.2013.10 vom 7. Mai 2013, E. 2.5);</w:t>
      </w:r>
    </w:p>
    <w:p>
      <w:r>
        <w:t>- die Frist für die Zahlung eines Vorschusses gewahrt ist, wenn der Betrag rechtzeitig zu Gunsten einer Behörde der Schweizerischen Post übergeben oder einem Post- oder Bankkonto in der Schweiz belastet worden ist (Art. 21 Abs. 3 VwVG);</w:t>
      </w:r>
    </w:p>
    <w:p>
      <w:r>
        <w:t>- die Beschwerdefrist von 30 Tagen vorliegend am 11. April 2015 zu laufen begann und am Montag, 11. Mai 2015, endete;</w:t>
      </w:r>
    </w:p>
    <w:p>
      <w:r>
        <w:t>- 4 -</w:t>
      </w:r>
    </w:p>
    <w:p>
      <w:r>
        <w:t>- der Eingabe per Telefax vom 11. Mai 2015 keine fristwahrende Wirkung zu- kommt und sich die am 12. Mai 2015 erfolgte Übergabe der Beschwerde- schrift an das Schweizerische Generalkonsulat in Frankfurt zu Handen der Beschwerdekammer als verspätet erweist;</w:t>
      </w:r>
    </w:p>
    <w:p>
      <w:r>
        <w:t>- auf die Beschwerde bereits daher nicht einzutreten ist;</w:t>
      </w:r>
    </w:p>
    <w:p>
      <w:r>
        <w:t>- der geleistete Kostenvorschuss weiter nicht fristgerecht dem Postkonto des Bundesstrafgerichts gutgeschrieben wurde und der eingereichte Nachweis (act. 11.1) nicht belegt, dass der Vorschuss fristgerecht einem Post- oder Bankkonto in der Schweiz belastet worden ist;</w:t>
      </w:r>
    </w:p>
    <w:p>
      <w:r>
        <w:t>- auch eine verspätete Leistung des Kostenvorschusses zu einem Nichtein- treten auf die Beschwerde führt (Art. 63 Abs. 4 VwVG);</w:t>
      </w:r>
    </w:p>
    <w:p>
      <w:r>
        <w:t>- schliesslich auch die Beschwerdelegitimation des Beschwerdeführers frag- lich erscheint, da nicht erkennbar wird, inwiefern er durch die Herausgabe von Informationen eines Kontos, dessen Inhaberin eine Drittperson ist, per- sönlich und direkt betroffen sein soll (Art. 21 Abs. 3 und Art. 80h lit. b IRSG; Art. 9a lit. a IRSV; BGE 137 IV 134 E. 6);</w:t>
      </w:r>
    </w:p>
    <w:p>
      <w:r>
        <w:t>- nach dem Gesagten auf die Beschwerde nicht einzutreten ist;</w:t>
      </w:r>
    </w:p>
    <w:p>
      <w:r>
        <w:t>- bei diesem Ausgang des Verfahrens die Gerichtskosten dem Beschwerde- führer aufzuerlegen sind (Art. 63 Abs. 1 VwVG);</w:t>
      </w:r>
    </w:p>
    <w:p>
      <w:r>
        <w:t>- die entsprechende Gebühr auf Fr. 500.– festzusetzen ist (Art. 63 Abs. 5 VwVG i.V.m. Art. 73 StBOG sowie Art. 5 und 8 Abs. 3 lit. a des Reglements des Bundesstrafgerichts vom 31. August 2010 über die Kosten, Gebühren und Entschädigungen in Bundesstrafverfahren [BStKR; SR 173.713.162]), unter Anrechnung des entsprechenden Betrags am geleisteten Kostenvor- schuss in der Höhe von Fr. 4'000.–;</w:t>
      </w:r>
    </w:p>
    <w:p>
      <w:r>
        <w:t>- die Bundesstrafgerichtskasse anzuweisen ist, dem Beschwerdeführer Fr. 3'500.– zurückzuerstatten.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