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RR.2015.123 vom 3. September 2015</w:t>
      </w:r>
    </w:p>
    <w:p>
      <w:r>
        <w:t>Bundesstrafgericht, 2015-09-03, DE</w:t>
      </w:r>
    </w:p>
    <w:p>
      <w:r>
        <w:rPr>
          <w:b/>
        </w:rPr>
        <w:t xml:space="preserve">Quelle: </w:t>
      </w:r>
      <w:r>
        <w:t>https://mcp.opencaselaw.ch/entscheid/bstger_RR.2015.123</w:t>
      </w:r>
    </w:p>
    <w:p>
      <w:r>
        <w:t>FR: TPF RR.2015.123 du 3 septembre 2015</w:t>
      </w:r>
    </w:p>
    <w:p>
      <w:r>
        <w:t>IT: TPF RR.2015.123 del 3 settembre 2015</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w:t>
      </w:r>
    </w:p>
    <w:p>
      <w:r>
        <w:t>- 4 -</w:t>
      </w:r>
    </w:p>
    <w:p>
      <w:r>
        <w:t>(Verwaltungsverfahrensgesetz,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Die Beschwerdeführerin war Inhaberin des von der Rechtshilfemassnahme betroffenen und am 14. Januar 2011 saldierten Kontos, sodass sie zur Beschwerdeführung legitimiert ist. Da die Beschwerde auch fristgerecht erfolgte, ist auf diese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t>- 5 -</w:t>
      </w:r>
    </w:p>
    <w:p>
      <w:r>
        <w:rPr>
          <w:b/>
        </w:rPr>
        <w:t>E. 4.1</w:t>
      </w:r>
    </w:p>
    <w:p>
      <w:r>
        <w:t>Die Beschwerdeführerin bringt vor, dass der im Ersuchen beschriebene Sachverhaltsvorwurf – zum Tatzeitpunkt – unter keinen Straftatbestand des serbischen Strafrechts subsumiert werden könne, mithin die 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"Bank H." sei eine serbische Bank mit Sitz in Belgrad. Im Zeitraum von 2006 bis 29. Dezember 2011 sei durch den Entscheid der serbischen Volksbank die Zwangsverwaltung über sie eingeleitet worden. Im Rahmen seiner Tätigkeit für die "Bank H." habe B. im obgenannten Zeitraum mit vier weiteren Tätern zusammen Gesellschaften mit Sitz in Serbien Kredite, Bankgarantien und</w:t>
      </w:r>
    </w:p>
    <w:p>
      <w:r>
        <w:t>- 6 -</w:t>
      </w:r>
    </w:p>
    <w:p>
      <w:r>
        <w:t>Wechselavale ohne entsprechende Sicherungsmittel bewilligt. Diesen Gesellschaften sei es zu diesem Zeitpunkt wirtschaftlich schlecht gegangen und sie seien nicht in der Lage gewesen, aufgrund der erzielten Gewinne aus ihrer ordentlichen Geschäftstätigkeit die Kredite zurückzubezahlen bzw. den Wert der bewilligten Bankgarantie und avalierten Wechsel im Falle ihrer Aktivierung zu ersetzen, was B. gewusst habe. Der Sohn von B., C., sowie E. und D. seien direkt und indirekt an mehreren begünstigten Gesellschaften beteiligt gewesen. Die Vorerwähnten hätten sich rechtswidrig zum Nachteil der Bank H. um insgesamt EUR 80'000'000.-- bereichert (act. 7.2).</w:t>
      </w:r>
    </w:p>
    <w:p>
      <w:r>
        <w:rPr>
          <w:b/>
        </w:rPr>
        <w:t>E. 4.4</w:t>
      </w:r>
    </w:p>
    <w:p>
      <w:r>
        <w:t>Der soeben widergegebenen Sachverhaltsdarstellung der ersuchenden Behörde sind keine offensichtlichen Fehler, Lücken oder Widersprüche zu entnehmen. Solche Mängel werden von der Beschwerdeführerin auch nicht geltend gemacht (vgl. act. 1). Aus diesem Grund ist diese Sachverhaltsdarstellung für den Rechtshilferichter bindend und den nachfolgenden Erwägungen zu Grunde zu legen.</w:t>
      </w:r>
    </w:p>
    <w:p>
      <w:r>
        <w:rPr>
          <w:b/>
        </w:rPr>
        <w:t>E. 4.5</w:t>
      </w:r>
    </w:p>
    <w:p>
      <w:r>
        <w:t>Die StA BG subsumiert den Sachverhaltsvorwurf unter Art. 234 des serbischen StGB ("Missbrauch der verantwortlichen Person"; act. 7.1 i.V.m. 7.2; vgl. auch act. act. 1, S. 6). Die Beschwerdeführerin bringt diesbezüglich vor, dass dieser Straftatbestand erst am 15. April 2013 in Kraft getreten sei, mithin zum angeblichen Tatzeitpunkt nicht in Kraft gewesen sei. Sie führt sinngemäss aus, dass für den Zeitraum von 2006 bis 29. Dezember 2011 einzig eine Strafbarkeit nach Art. 359 des serbischen StGB ("Amtsmissbrauch") noch in Frage käme. Jedoch setze dieser Tatbestand Beamteneigenschaft voraus. Da die Zwangsverwaltung der Bank H. erst nach dem 29. Dezember 2011 vollzogen worden, und die Bank H.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w:t>
      </w:r>
    </w:p>
    <w:p>
      <w:r>
        <w:t>- 7 -</w:t>
      </w:r>
    </w:p>
    <w:p>
      <w:r>
        <w:t>aufweist. Vorbehältlich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1A.3/2006 vom 6. Februar 2006, E. 6.1 ;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von der Beschwerdeführerin nicht kritisiert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von der Beschwerdeführerin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der Beschwerdeführerin – zum Tatzeitpunkt der Straftatbestand der ungetreuen Geschäftsbesorgung im serbischen Strafgesetzbuch. Auch aus dessen Revision vermag die Beschwerdeführerin nichts zu ihren Gunsten abzuleiten. Von offensichtlichem Missbrauch im Sinne der oben zitierten</w:t>
      </w:r>
    </w:p>
    <w:p>
      <w:r>
        <w:t>- 8 -</w:t>
      </w:r>
    </w:p>
    <w:p>
      <w:r>
        <w:t>Rechtsprechung (vgl. auch HEIMGARTNER, Basler Kommentar Internationales Strafrecht, Basel 2014, Art. 64 IRSG N.15) kann somit keine Rede sein und die Strafbarkeit nach serbischem Recht ist nicht näher zu prüfen. Mithin erweist sich die Rüge der Beschwerdeführerin als unbegründet.</w:t>
      </w:r>
    </w:p>
    <w:p>
      <w:r>
        <w:rPr>
          <w:b/>
        </w:rPr>
        <w:t>E. 4.9</w:t>
      </w:r>
    </w:p>
    <w:p>
      <w:r>
        <w:t>Weitere Rechtshilfehindernisse werden weder genannt, noch ist das Vorliegen solcher ersichtlich. Die Beschwerde ist daher vollumfänglich abzuweisen.</w:t>
      </w:r>
    </w:p>
    <w:p>
      <w:r>
        <w:t>5. Die Beschwerdeführerin bringt in ihrer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der Beschwerdeführerin – zu berücksichtigen.</w:t>
      </w:r>
    </w:p>
    <w:p>
      <w:r>
        <w:rPr>
          <w:b/>
        </w:rPr>
        <w:t>E. 6</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2'000.-- festzusetzen und der Beschwerdeführerin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