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RR.2015.105 vom 23. Juni 2015</w:t>
      </w:r>
    </w:p>
    <w:p>
      <w:r>
        <w:t>Bundesstrafgericht, 2015-06-23, DE</w:t>
      </w:r>
    </w:p>
    <w:p>
      <w:r>
        <w:rPr>
          <w:b/>
        </w:rPr>
        <w:t xml:space="preserve">Quelle: </w:t>
      </w:r>
      <w:r>
        <w:t>https://mcp.opencaselaw.ch/entscheid/bstger_RR.2015.105</w:t>
      </w:r>
    </w:p>
    <w:p>
      <w:r>
        <w:t>FR: TPF RR.2015.105 du 23 juin 2015</w:t>
      </w:r>
    </w:p>
    <w:p>
      <w:r>
        <w:t>IT: TPF RR.2015.105 del 23 giugno 2015</w:t>
      </w:r>
    </w:p>
    <w:p>
      <w:pPr>
        <w:pStyle w:val="Heading2"/>
      </w:pPr>
      <w:r>
        <w:t>Regeste</w:t>
      </w:r>
    </w:p>
    <w:p>
      <w:r>
        <w:t>Internationale Rechtshilfe in Strafsachen an Deutschland. Herausgabe von Beweismitteln (Art. 74 IRSG). Teilnahme am Verfahren und Akteneinsicht (Art. 80b IRSG).</w:t>
      </w:r>
    </w:p>
    <w:p>
      <w:pPr>
        <w:pStyle w:val="Heading2"/>
      </w:pPr>
      <w:r>
        <w:t>Erwägungen</w:t>
      </w:r>
    </w:p>
    <w:p>
      <w:r>
        <w:rPr>
          <w:b/>
        </w:rPr>
        <w:t>E. 1</w:t>
      </w:r>
    </w:p>
    <w:p>
      <w:r>
        <w:t>Die Rechtshilfe zwischen der Schweiz und Deutschland richtet sich primär nach den einschlägigen Staatsverträgen. Die Parteistellung im Rechtshilfe- verfahren, das im ersuchten Staat durchgeführt wird, richtet sich indes aus- schliesslich nach Landesrecht (BGE 127 II 104 E. 2), mithin nach dem Bun- desgesetz vom 20. März 1981 (Rechtshilfegesetz, IRSG; SR 351.1) und der Verordnung vom 24. Februar 1982 über internationale Rechtshilfe in Straf- sachen (Rechtshilfeverordnung, IRSV; SR 351.11). Auf Beschwerdeverfah- ren in internationalen Rechtshilfeangelegenheiten sind zudem die Bestim- mungen des Bundesgesetzes vom 20. Dezember 1968 über das Verwal- tungsverfahren (Verwaltungsverfahrensgesetz, VwVG; SR 172.021) an- wendbar (Art. 39 Abs. 2 lit. b i.V.m. Art. 37 Abs. 2 lit. a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w:t>
      </w:r>
    </w:p>
    <w:p>
      <w:r>
        <w:t>- 6 -</w:t>
      </w:r>
    </w:p>
    <w:p>
      <w:r>
        <w:t>und direkt von einer Rechtshilfemassnahme betroffen ist und ein schutzwür- diges Interesse an deren Aufhebung oder Änderung hat (Art. 80h lit. b IRSG). Personen, gegen die sich das ausländische Strafverfahren richtet, können Verfügungen nur anfechten, wenn eine Rechtshilfemassnahme sie persön- lich und direkt betrifft und sie ein schutzwürdiges Interesse an deren Aufhe- bung oder Änderung haben (Art. 21 Abs. 3 IRSG). Die Beschwerdevoraus- setzungen gemäss Art. 21 Abs. 3 IRSG sind dieselben wie in Art. 80h lit. b IRSG (vgl. hierzu die Botschaft vom 29. März 1995 betreffend die Änderung des Rechtshilfegesetzes [...], BBl 1995 III S. 19, 30). Als persönlich und direkt betroffen im Sinne der Art. 21 Abs. 3 und Art. 80h lit. b IRSG gelten nament- lich der Kontoinhaber bei der Erhebung von Kontoinformationen sowie der Eigentümer oder der Mieter bei Hausdurchsuchungen (Art. 9a lit. a und b IRSV).</w:t>
      </w:r>
    </w:p>
    <w:p>
      <w:r>
        <w:rPr>
          <w:b/>
        </w:rPr>
        <w:t>E. 2.2</w:t>
      </w:r>
    </w:p>
    <w:p>
      <w:r>
        <w:t>Die Praxis bejaht die Beschwerdelegitimation jener Person, gegen die un- mittelbar eine Zwangsmassnahme angeordnet wurde. Für bloss indirekt Be- troffene, insbesondere Personen, die zwar in den erhobenen Unterlagen er- wähnt werden, aber nicht direkt von Zwangsmassnahmen betroffen bzw. In- haber von sichergestellten Dokumenten sind, ist die Beschwerdebefugnis grundsätzlich zu verneinen (BGE 137 IV 134 E. 5.2.2 m.w.H.). Die Beschlag- nahme von Urkunden, die sich in den Händen von Dritten befinden, kann ein von der Zwangsmassnahme nur indirekt Betroffener nicht selbst anfechten. Dies gilt auch dann, wenn die Urkunden Informationen zu Aktivitäten des indirekt Betroffenen enthalten. Beispielsweise ist der Verfasser von Doku- menten, die sich im Besitz eines Dritten befinden, durch die den Dritten be- treffende Verpflichtung zur Edition nicht persönlich berührt (vgl. zum Ganzen BGE 137 IV 134 E. 5.2.3 m.w.H.; Urteil des Bundesgerichts 1C_189/2013 vom 27. März 2013, E. 1.3.2). Der sich auf Hausdurchsuchungen bzw. auf die Beschlagnahme von Dokumenten und Gegenständen beziehende Art. 9a lit. b IRSV knüpft daher grundsätzlich am unmittelbaren Besitz (tat- sächliche Verfügungsgewalt) bzw. an der direkten Betroffenheit durch Zwangsmassnahmen an (BGE 137 IV 134 E. 6.2 m.w.H.).</w:t>
      </w:r>
    </w:p>
    <w:p>
      <w:r>
        <w:rPr>
          <w:b/>
        </w:rPr>
        <w:t>E. 2.3</w:t>
      </w:r>
    </w:p>
    <w:p>
      <w:r>
        <w:t>Bloss wirtschaftlich an einem Bankkonto, Banksafe oder Wertschriftendepot Berechtigte sind im Gegensatz zu deren Inhaber grundsätzlich nicht legiti- miert, Rechtshilfemassnahmen anzufechten, welche die Bankverbindung betreffen (BGE 139 II 404 E. 2.1.1 S. 411 f. m.w.H.; Urteil des Bundesge- richts 1C_764/2013 vom 27. September 2013, E. 2.1; TPF 2008 172 E. 1.3). Eine Ausnahme lässt die Praxis zu, falls einzige Kontoinhaberin eine juristi- sche Person war, die aufgelöst worden ist, und zudem keine Anhaltspunkte dafür bestehen, dass die Liquidation dieser Gesellschaft nur vorgeschoben wird bzw. rechtsmissbräuchlich erfolgte (BGE 137 IV 134 E. 5.2.1 S. 138</w:t>
      </w:r>
    </w:p>
    <w:p>
      <w:r>
        <w:t>- 7 -</w:t>
      </w:r>
    </w:p>
    <w:p>
      <w:r>
        <w:t>m.w.H.). In einem solchen Falle muss der wirtschaftlich an einer erloschenen Gesellschaft Berechtigte insbesondere nachweisen, dass er Begünstigter des Erlöses aus der Liquidation dieser Gesellschaft war. Die wirtschaftliche Berechtigung am fraglichen Konto alleine reicht zur Bejahung der Beschwer- delegitimation nicht aus (Urteil des Bundesgerichts 1C_370/2012 vom 3. Ok- tober 2012, E. 2.3; TPF 2009 183 E. 2.2.1; Entscheid des Bundesstrafge- richts RR.2014.244 vom 9. Januar 2015, E. 1.3.1).</w:t>
      </w:r>
    </w:p>
    <w:p>
      <w:r>
        <w:rPr>
          <w:b/>
        </w:rPr>
        <w:t>E. 2.4</w:t>
      </w:r>
    </w:p>
    <w:p>
      <w:r>
        <w:t>Die vorliegend herauszugebenden Beweismittel wurden ausschliesslich bei der Bank B. AG erhoben. Sofern mit der angefochtenen Schlussverfügung Geschäftsunterlagen der Bank ohne Zusammenhang mit einem Kunden- konto herausgegeben werden sollen, ist der Beschwerdeführer durch sie nicht unmittelbar und direkt betroffen. Das gilt nach dem Gesagten (siehe oben E. 2.2) selbst für allenfalls vom Beschwerdeführer verfasste Unterlagen oder solche, in denen er erwähnt wird. Demnach kommt dem Beschwerde- führer diese Unterlagen betreffend keine Beschwerdelegitimation zu.</w:t>
      </w:r>
    </w:p>
    <w:p>
      <w:r>
        <w:t>Dem Beschwerdeführer käme aber auch dann keine Beschwerdelegitimation zu, wenn die angeordnete Herausgabe von Beweismitteln Unterlagen zu ei- ner auf die mittlerweile liquidierte und gelöschte Gesellschaft C. Ltd. lauten- den Kontoverbindung betreffen sollte. Der Beschwerdeführer hat es diesbe- züglich unterlassen, seine wirtschaftliche Berechtigung am Erlös aus der Li- quidation der C. Ltd. nachzuweisen. Der von ihm eingereichte Handelsregis- terauszug (act. 1.2) enthält diesbezüglich keine Angaben. Selbst die (hier nicht erfolgte) Vorlage des vom wirtschaftlich am Konto einer aufgelösten Gesellschaft Berechtigten unterzeichneten Formulars A würde nicht zum Nachweis für dessen Stellung als Begünstigter der Liquidation dieser Gesell- schaft genügen (TPF 2009 183 E. 2.2.2).</w:t>
      </w:r>
    </w:p>
    <w:p>
      <w:r>
        <w:rPr>
          <w:b/>
        </w:rPr>
        <w:t>E. 2.5</w:t>
      </w:r>
    </w:p>
    <w:p>
      <w:r>
        <w:t>Die vom Beschwerdeführer im Rahmen seiner Replik vorgebrachten Einre- den und Einwendungen führen nicht dazu, von diesem Ergebnis bzw. von der diesem zu Grunde liegenden langjährigen Rechtsprechung abzuwei- chen. Der Hinweis (act. 14, S. 4), wonach die Rechtsprechung der beschul- digten Person Parteistellung einräume, wenn sie (wie der Beschwerdeführer) in der Schweiz wohne und die Akteneinsicht notwendig sei, damit sie ihre Rechte wahren könne, bezieht sich klarerweise auf vor dem 1. Februar 1997 in Kraft stehende Normen (siehe BGE 127 II 104 E. 3a). Der schweizerische Wohnsitz des Beschwerdeführers begründet alleine für sich keine Beschwer- delegitimation (siehe nun ausdrücklich in Art. 21 Abs. 3 IRSG).</w:t>
      </w:r>
    </w:p>
    <w:p>
      <w:r>
        <w:t>Ebenso wenig führt die vom Beschwerdeführer in act. 14, S. 6 angerufene Rechtsweggarantie im Sinne von Art. 29a BV zu einem Eintreten auf seine</w:t>
      </w:r>
    </w:p>
    <w:p>
      <w:r>
        <w:t>- 8 -</w:t>
      </w:r>
    </w:p>
    <w:p>
      <w:r>
        <w:t>Beschwerde. Der garantierte Rechtsweg besteht nur im Rahmen der jeweils geltenden Prozessordnung und die Garantie verbietet insbesondere auch nicht, das Eintreten auf ein Rechtsmittel von den üblichen Sachurteilsvoraus- setzungen abhängig zu machen (BGE 137 II 409 E. 4.2 m.w.H.).</w:t>
      </w:r>
    </w:p>
    <w:p>
      <w:r>
        <w:t>Auch der Hinweis (act. 14, S. 9 ff.) auf die vom Bundesgericht in BGE 139 II 404 E. 2.1.3 vorgenommene Nuancierung der Rechtsprechung im Bereich der internationalen Amtshilfe in Steuerfragen geht von Vornherein an der Sa- che vorbei, nachdem vorliegend – anders als im beurteilten Fall – rechthilfe- weise Informationen über bestimmte Vorfälle und Personen bzw. über be- stimmte Transaktionen verlangt wurden.</w:t>
      </w:r>
    </w:p>
    <w:p>
      <w:r>
        <w:rPr>
          <w:b/>
        </w:rPr>
        <w:t>E. 3</w:t>
      </w:r>
    </w:p>
    <w:p>
      <w:r>
        <w:t>September 2014, E. 9.2).</w:t>
      </w:r>
    </w:p>
    <w:p>
      <w:r>
        <w:rPr>
          <w:b/>
        </w:rPr>
        <w:t>E. 4</w:t>
      </w:r>
    </w:p>
    <w:p>
      <w:r>
        <w:t>Bei diesem Ausgang des Verfahrens sind die Gerichtskosten dem Be- schwerdeführer aufzuerlegen (Art. 63 Abs. 1 VwVG). Die Gerichtsgebühr ist auf Fr. 4'000.– festzusetzen (Art. 63 Abs. 5 VwVG i.V.m. Art. 73 StBOG so- wie Art. 5 und 8 Abs. 3 lit. a des Reglements des Bundesstrafgerichts vom 31. August 2010 über die Kosten, Gebühren und Entschädigungen in Bun- desstrafverfahren [BStKR; SR 173.713.162]), unter Anrechnung des ent- sprechenden Betrags am geleisteten Kostenvorschuss in der Höhe von Fr. 5'000.–. Die Bundesstrafgerichtskasse ist anzuweisen, dem Beschwer- deführer Fr. 1'000.– zurückzuerstatten.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