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RR.2015.10 vom 10. Juli 2015</w:t>
      </w:r>
    </w:p>
    <w:p>
      <w:r>
        <w:t>Bundesstrafgericht, 2015-07-10, FR</w:t>
      </w:r>
    </w:p>
    <w:p>
      <w:r>
        <w:rPr>
          <w:b/>
        </w:rPr>
        <w:t xml:space="preserve">Quelle: </w:t>
      </w:r>
      <w:r>
        <w:t>https://mcp.opencaselaw.ch/entscheid/bstger_RR.2015.10</w:t>
      </w:r>
    </w:p>
    <w:p>
      <w:r>
        <w:t>FR: TPF RR.2015.10 du 10 juillet 2015</w:t>
      </w:r>
    </w:p>
    <w:p>
      <w:r>
        <w:t>IT: TPF RR.2015.10 del 10 luglio 2015</w:t>
      </w:r>
    </w:p>
    <w:p>
      <w:pPr>
        <w:pStyle w:val="Heading2"/>
      </w:pPr>
      <w:r>
        <w:t>Regeste</w:t>
      </w:r>
    </w:p>
    <w:p>
      <w:r>
        <w:t>Entraide judiciaire internationale en matière pénale au Venezuela. Remise de moyens de preuve (art. 74 EIMP).</w:t>
      </w:r>
    </w:p>
    <w:p>
      <w:pPr>
        <w:pStyle w:val="Heading2"/>
      </w:pPr>
      <w:r>
        <w:t>Erwägungen</w:t>
      </w:r>
    </w:p>
    <w:p>
      <w:r>
        <w:rPr>
          <w:b/>
        </w:rPr>
        <w:t>E. 1.1</w:t>
      </w:r>
    </w:p>
    <w:p>
      <w:r>
        <w:t>La Suisse et le Venezuela ne sont liés par aucun accord de coopération judiciaire. L'entraide judiciaire de la première au second est donc régie par la loi fédérale sur l'entraide internationale en matière pénale (EIMP; RS 351.1) et son ordonnance d'exécution (OEIMP; RS 351.11).</w:t>
      </w:r>
    </w:p>
    <w:p>
      <w:r>
        <w:rPr>
          <w:b/>
        </w:rPr>
        <w:t>E. 1.2</w:t>
      </w:r>
    </w:p>
    <w:p>
      <w:r>
        <w:t>En vertu de l’art. 37 al. 2 let. a de la loi fédérale sur l'organisation des autorités pénales de la Confédération [LOAP; RS 173.71]), mis en relation avec les art. 25 al. 1 et 80e al. 1 EIMP ainsi que 19 al. 1 du règlement du 31 août 2010 sur l’organisation du Tribunal pénal fédéral (ROTPF; RS 173.713.161), la Cour des plaintes de ce tribunal est compétente pour connaître des recours dirigés contre les décisions de clôture de la procédure d’entraide rendues par l’autorité fédérale ou cantonale d’exécution.</w:t>
      </w:r>
    </w:p>
    <w:p>
      <w:r>
        <w:rPr>
          <w:b/>
        </w:rPr>
        <w:t>E. 1.3</w:t>
      </w:r>
    </w:p>
    <w:p>
      <w:r>
        <w:t>En tant que titulaire du compte bancaire visé par la décision litigieuse, la recourante a qualité pour recourir contre celle-ci (art. 80h let. b EIMP et 9a let. a OEIMP).</w:t>
      </w:r>
    </w:p>
    <w:p>
      <w:r>
        <w:rPr>
          <w:b/>
        </w:rPr>
        <w:t>E. 1.4</w:t>
      </w:r>
    </w:p>
    <w:p>
      <w:r>
        <w:t>Le recours, déposé le 6 janvier 2015 contre une décision notifiée le 8 décembre 2014, l'a été dans le délai de 30 jours prévu par l'art. 80k EIMP.</w:t>
      </w:r>
    </w:p>
    <w:p>
      <w:r>
        <w:rPr>
          <w:b/>
        </w:rPr>
        <w:t>E. 1.5</w:t>
      </w:r>
    </w:p>
    <w:p>
      <w:r>
        <w:t>Il y a donc lieu d'entrer en matière.</w:t>
      </w:r>
    </w:p>
    <w:p>
      <w:r>
        <w:rPr>
          <w:b/>
        </w:rPr>
        <w:t>E. 2</w:t>
      </w:r>
    </w:p>
    <w:p>
      <w:r>
        <w:t>La recourante soutient que les faits pour lesquels elle est poursuivie au Venezuela, soit la seule réception de fonds provenant de l'activité délictueuse de son mari, ne constituent pas un comportement réprimé par le droit suisse. La condition de la double incrimination, à laquelle l'art. 64 EIMP soumet l'entraide, ne serait ainsi pas remplie et, partant, l'octroi de cette dernière serait – étant donné qu'elle n'est pas soupçonnée d'avoir participé</w:t>
      </w:r>
    </w:p>
    <w:p>
      <w:r>
        <w:t>- 4 -</w:t>
      </w:r>
    </w:p>
    <w:p>
      <w:r>
        <w:t>à l'infraction d'extorsion – contraire au principe de spécialité institué par l'art. 67 EIMP. Elle aurait déjà développé cette argumentation devant l'instance précédente, laquelle ne "serait pas entr[ée] en matière" (act. 1, note marginale 31), violant par-là son droit d'être entendue tel que garanti par l'art. 29 Cst. Enfin, la recourante dénonce une violation de l'art. 8 EIMP, faisant valoir que la condition de la réciprocité instituée par cette disposition légale n'est pas remplie en l'occurrence.</w:t>
      </w:r>
    </w:p>
    <w:p>
      <w:r>
        <w:rPr>
          <w:b/>
        </w:rPr>
        <w:t>E. 3.1</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107 Ib 264 consid. 3a; 1A.270/2006 du 13 mars 2007, consid. 2.1; arrêt du Tribunal pénal fédéral RR.2008.69 du 14 août 2008, consid. 3).</w:t>
      </w:r>
    </w:p>
    <w:p>
      <w:r>
        <w:rPr>
          <w:b/>
        </w:rPr>
        <w:t>E. 3.2</w:t>
      </w:r>
    </w:p>
    <w:p>
      <w:r>
        <w:t>Aux termes de la demande d'entraide du 19 juin 2013, l'Etat requérant soupçonne la recourante d'avoir reçu, sur un compte bancaire en Suisse, des fonds provenant de l'activité illicite de son mari au Venezuela (act. 1.4, p. 3). De tels faits sont prima facie constitutifs de blanchiment, réprimé par l'art. 305bis CP, dès lors que le virement de fonds à l'étranger constitue un acte propre à entraver, au sens de cette disposition, l'établissement d'un lien entre le crime préalable et la valeur patrimoniale qui en provient (ATF 129 IV 271 consid. 2.1; 127 IV 20 consid. 3b). L'argumentation tirée de l'absence de double incrimination est ainsi mal fondée.</w:t>
      </w:r>
    </w:p>
    <w:p>
      <w:r>
        <w:t>- 5 -</w:t>
      </w:r>
    </w:p>
    <w:p>
      <w:r>
        <w:rPr>
          <w:b/>
        </w:rPr>
        <w:t>E. 4</w:t>
      </w:r>
    </w:p>
    <w:p>
      <w:r>
        <w:t>Il s'ensuit que le grief tiré d'une violation du principe de la spécialité, qui repose sur la prémisse de l'absence de double incrimination, est également mal fondé.</w:t>
      </w:r>
    </w:p>
    <w:p>
      <w:r>
        <w:rPr>
          <w:b/>
        </w:rPr>
        <w:t>E. 5</w:t>
      </w:r>
    </w:p>
    <w:p>
      <w:r>
        <w:t>La violation du droit d'être entendu dont se plaint la recourante concerne exclusivement un prétendu manquement de l'instance inférieure, qui aurait omis à tort de se prononcer sur la violation des principes de double incrimination et de spécialité invoqués devant elle.</w:t>
      </w:r>
    </w:p>
    <w:p>
      <w:r>
        <w:t>Sur ces derniers points, la recourante reprend intégralement dans son mémoire du 6 janvier 2015 l'argumentation qu'elle a développée en première instance. Dès lors, à admettre que le vice allégué soit avéré, il serait guéri par les considérations qui précèdent, étant précisé qu'il ne s'agirait en aucun cas d'une violation particulièrement grave des droits de l'intéressée (auquel cas la réparation du vice serait en principe exclue, cf. ATF 137 I 195 consid. 2.3.2; 136 IV 117, consid. 4.2.2.2) et que la Cour de céans dispose d'un plein pouvoir de cognition en fait et en droit (arrêt du Tribunal fédéral 1A.228/2006 du 11 décembre 2006, consid. 3.3; TPF 2009 49 consid. 4.4). Par conséquent, le grief tiré d'une violation du droit d'être entendu doit être déclaré mal fondé sans qu'il y ait lieu de l'examiner plus avant.</w:t>
      </w:r>
    </w:p>
    <w:p>
      <w:r>
        <w:rPr>
          <w:b/>
        </w:rPr>
        <w:t>E. 6</w:t>
      </w:r>
    </w:p>
    <w:p>
      <w:r>
        <w:t>La recourante ne peut pas non plus être suivie lorsqu'elle se plaint d'une violation de l'art. 8 EIMP.</w:t>
      </w:r>
    </w:p>
    <w:p>
      <w:r>
        <w:t>En effet, dans l'arrêt RR.2015.11, la Cour de céans a rejeté ce grief, soulevé par le mari de la recourante, en considérant que vu la gravité des faits reprochés à l'intéressé – qui aurait notamment menacé de tuer une personne si celle-ci ne lui remettait pas une forte somme d'argent –, il y avait lieu de renoncer à l'exigence de réciprocité prévue par la disposition légale précitée. Or, ces considérations valent mutatis mutandis dans la présente cause, dès lors que celle-ci concerne des soupçons de blanchiment (cf. supra consid. 3.2) par la recourante de tout ou partie des fonds provenant des extorsions reprochées à son époux (arrêt du Tribunal fédéral 1A.49-54/2002 du 23 avril 2003, consid. 4.1, non publié in ATF 129 II 268, et les références citées).</w:t>
      </w:r>
    </w:p>
    <w:p>
      <w:r>
        <w:rPr>
          <w:b/>
        </w:rPr>
        <w:t>E. 7.1</w:t>
      </w:r>
    </w:p>
    <w:p>
      <w:r>
        <w:t>Au vu de ce qui précède, le recours devrait en principe être rejeté et, partant, la documentation bancaire être transmise à l'Etat requérant ainsi que l'ordonne la décision entreprise.</w:t>
      </w:r>
    </w:p>
    <w:p>
      <w:r>
        <w:t>- 6 -</w:t>
      </w:r>
    </w:p>
    <w:p>
      <w:r>
        <w:t>Cela étant, dans l'arrêt RR.2015.11, la Cour de céans a admis le grief tiré de l'art. 2 EIMP soulevé par l'époux de la recourante, qui se plaignait de conditions de détention inhumaines et dégradantes, et a pour ce motif fait dépendre la remise de la documentation bancaire à l'Etat requérant de la remise de garanties diplomatiques (consid. 5 s.).</w:t>
      </w:r>
    </w:p>
    <w:p>
      <w:r>
        <w:rPr>
          <w:b/>
        </w:rPr>
        <w:t>E. 7.2</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La Suisse elle-même contreviendrait à ses obligations internationales en extradant une personne à un Etat où il existe des motifs sérieux de penser qu'un risque de traitement contraire à la CEDH ou au Pacte ONU II menace l'intéressé (ATF 123 II 161 consid. 6a p. 167, 511 consid. 5a p. 517; ATF 121 II 296 consid. 3b p. 298/299). Comme cela résulte du libellé de l'art. 2 EIMP, cette règle s'applique à toutes les formes de coopération internationale, y compris l'entraide (cf. ATF 129 II 268 consid. 6.1; 123 II 595 consid. 5c p. 608; TPF 2010 56 consid. 6.3.2).</w:t>
      </w:r>
    </w:p>
    <w:p>
      <w:r>
        <w:rPr>
          <w:b/>
        </w:rPr>
        <w:t>E. 7.3</w:t>
      </w:r>
    </w:p>
    <w:p>
      <w:r>
        <w:t>On ne peut pas exclure que la documentation bancaire litigieuse soit utilisée par les autorités vénézuéliennes non seulement pour élucider les faits reprochés à la recourante, mais aussi afin de poursuivre l'époux de celle-ci. Les pièces en question pourraient effectivement contribuer à établir un enrichissement de l'intéressé dépassant dans une large mesure les revenus que lui procurait son activité d'officier auprès de la garde nationale bolivarienne, ce qui pourrait constituer un indice sérieux en faveur de l'activité délictueuse dont il est soupçonné. Dans ces conditions, au regard de la ratio legis de l'art. 2 EIMP telle qu'elle vient d'être exposée, il sied en appliquant le droit d'office de subordonner l'octroi de l'entraide à l'obtention de la garantie que la documentation bancaire concernant la recourante ne sera pas utilisée comme moyen de preuve dans la procédure concernant son époux jusqu'à ce que le Venezuela ait donné un engagement suffisant concernant la procédure RR.2015.11.</w:t>
      </w:r>
    </w:p>
    <w:p>
      <w:r>
        <w:t>Après le prononcé du présent arrêt, l'OFJ communiquera cette condition à l'Etat requérant, selon les modalités adéquates, en lui impartissant un délai approprié pour déclarer s'il les accepte ou les refuse (art. 80p al. 2 EIMP). Il décidera ensuite si la réponse de l'Etat requérant constitue un engagement</w:t>
      </w:r>
    </w:p>
    <w:p>
      <w:r>
        <w:t>- 7 -</w:t>
      </w:r>
    </w:p>
    <w:p>
      <w:r>
        <w:t>suffisant (art. 80p al. 3 EIMP). Cette décision sera attaquable séparément (art. 80p al. 4 EIMP).</w:t>
      </w:r>
    </w:p>
    <w:p>
      <w:r>
        <w:rPr>
          <w:b/>
        </w:rPr>
        <w:t>E. 8</w:t>
      </w:r>
    </w:p>
    <w:p>
      <w:r>
        <w:t>Au vu de ce qui précède, la décision entreprise doit être réformée, ce qui conduit à l'admission du recours.</w:t>
      </w:r>
    </w:p>
    <w:p>
      <w:r>
        <w:rPr>
          <w:b/>
        </w:rPr>
        <w:t>E. 9</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 présent arrêt doit être rendu sans frais. La caisse du Tribunal pénal fédéral restituera à la recourante l'avance de frais versée par CHF 4'000.--.</w:t>
      </w:r>
    </w:p>
    <w:p>
      <w:r>
        <w:rPr>
          <w:b/>
        </w:rPr>
        <w:t>E. 10</w:t>
      </w:r>
    </w:p>
    <w:p>
      <w:r>
        <w:t>Dans la mesure où la recourante a obtenu gain de cause, elle a droit à une indemnité au sens de l'art. 64 al. 1 PA (TPF 2008 172 consid. 7.2). En l'espèce, le conseil de la recourante n'a pas produit de liste des opérations effectuées. Vu l'ampleur et la difficulté de la cause, et dans les limites du règlement du Tribunal pénal fédéral sur les frais, émoluments, dépens et indemnités de la procédure pénale fédérale du 31 août 2010 (RFPPF; RS 173.713.162), l'indemnité est fixée ex aequo et bono à CHF 1'500.--, à la charge de la partie adverse.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