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RR.2014.88 vom 9. April 2014</w:t>
      </w:r>
    </w:p>
    <w:p>
      <w:r>
        <w:t>Bundesstrafgericht, 2014-04-09, FR</w:t>
      </w:r>
    </w:p>
    <w:p>
      <w:r>
        <w:rPr>
          <w:b/>
        </w:rPr>
        <w:t xml:space="preserve">Quelle: </w:t>
      </w:r>
      <w:r>
        <w:t>https://mcp.opencaselaw.ch/entscheid/bstger_RR.2014.88</w:t>
      </w:r>
    </w:p>
    <w:p>
      <w:r>
        <w:t>FR: TPF RR.2014.88 du 9 avril 2014</w:t>
      </w:r>
    </w:p>
    <w:p>
      <w:r>
        <w:t>IT: TPF RR.2014.88 del 9 aprile 2014</w:t>
      </w:r>
    </w:p>
    <w:p>
      <w:pPr>
        <w:pStyle w:val="Heading2"/>
      </w:pPr>
      <w:r>
        <w:t>Regeste</w:t>
      </w:r>
    </w:p>
    <w:p>
      <w:r>
        <w:t>Extradition à la Belgique. Décision d'extradition (art. 55 EIMP). Assistance judiciaire (art. 65 PA).</w:t>
      </w:r>
    </w:p>
    <w:p>
      <w:pPr>
        <w:pStyle w:val="Heading2"/>
      </w:pPr>
      <w:r>
        <w:t>Erwägungen</w:t>
      </w:r>
    </w:p>
    <w:p>
      <w:r>
        <w:rPr>
          <w:b/>
        </w:rPr>
        <w:t>E. 1.1</w:t>
      </w:r>
    </w:p>
    <w:p>
      <w:r>
        <w:t>L'extradition entre la Suisse et la Belgique est régie par la Convention européenne d’extradition (CEExtr; RS 0.353.1), entrée en vigueur le 20 mars 1967 pour la Suisse et le 27 novembre 1997 pour la Belgique, par le Protocole additionnel à la Convention (RS 0.353.11) conclu le 15 octobre 1975, entré en vigueur le 9 juin 1985 pour la Suisse et le 16 février 1998 pour la Belgique, ainsi que par le deuxième Protocole additionnel à la Convention (RS 0.353.12) conclu le 17 mars 1978, entré en vigueur le 9 juin 1985 pour la Suisse et le 16 février 1998 pour la Belgique.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Belgique. Les dispositions pertinentes du CAAS n’affectent pas l’application des dispositions plus larges des accords en vigueur entre la Belgique et la Suisse (art. 59 ch.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sa qualité de personne extradée, A. a la qualité pour recourir contre la décision d’extradition au sens de l’art. 21 al. 3 EIMP (ATF 122 II 373 consid. 1b; 118 Ib 269 consid. 2d).</w:t>
      </w:r>
    </w:p>
    <w:p>
      <w:r>
        <w:rPr>
          <w:b/>
        </w:rPr>
        <w:t>E. 1.4</w:t>
      </w:r>
    </w:p>
    <w:p>
      <w:r>
        <w:t>Le délai de recours contre la décision d’extradition est de 30 jours dès la communication écrite de celle-ci (art. 50 al. 1 de la loi fédérale du 20 décembre 1968 sur la procédure administrative [PA; RS 172.021], applicable par renvoi de l’art. 39 al. 2 let. b de la loi fédérale du 19 mars 2010 sur l’organisation des autorités pénales de la Confédération [LOAP; RS 173.71]). Déposé à un bureau de poste suisse le 10 mars 2014,</w:t>
      </w:r>
    </w:p>
    <w:p>
      <w:r>
        <w:t>le recours contre la décision notifiée au plus tôt le 7 février 2014 est intervenu en temps utile.</w:t>
      </w:r>
    </w:p>
    <w:p>
      <w:r>
        <w:rPr>
          <w:b/>
        </w:rPr>
        <w:t>E. 1.5</w:t>
      </w:r>
    </w:p>
    <w:p>
      <w:r>
        <w:t>Il y a lieu d’entrer en matière.</w:t>
      </w:r>
    </w:p>
    <w:p>
      <w:r>
        <w:rPr>
          <w:b/>
        </w:rPr>
        <w:t>E. 2</w:t>
      </w:r>
    </w:p>
    <w:p>
      <w:r>
        <w:t>A l'appui de son recours, A. se prévaut d'une violation de son droit d'être entendu au sens des art. 6 CEDH, 29 Cst. et 21 al. 1 et 80d EIMP. En effet, une commission rogatoire aurait été présentée par la Belgique aux fins d'obtenir des documents issus de la procédure suisse ouverte contre A. Ce dernier n'aurait pas été informé de cette commission rogatoire et n'aurait ainsi pu s'exprimer à son sujet, en violation de son droit d'être entendu. En présence d'une telle violation, les pièces transmises seraient inutilisables en Belgique en application de l'art. 141 du Code de procédure pénale suisse. Dans la mesure où la demande d'extradition belge n'aurait pour seul fondement que les documents obtenus par commission rogatoire, cet Etat ne disposant d'aucun autre élément incriminant lui permettant de présenter une telle demande, l'extradition de A. devrait être refusée. A titre liminaire, force est de constater que le recourant erre lorsqu'il tente d'appliquer l'art. 141 du Code de procédure suisse à la question de l'exploitabilité des preuves dans la procédure belge. En effet, contrairement à l'exécution proprement dite de la commission rogatoire (art. 3 CEEJ), le sort des preuves dans la procédure étrangère ne saurait être régi par le droit de l'Etat requis. En tout état de cause, l'argumentation de A. repose sur une prétendue violation du droit d'être entendu qui serait intervenue dans le cadre d'une procédure d'entraide, distincte de la procédure d'extradition. Le grief lié au droit d'être entendu dans la procédure d'entraide ne pouvant trouver place dans la présente procédure, il est irrecevable et aurait dû être soulevé dans le cadre d'un recours séparé.</w:t>
      </w:r>
    </w:p>
    <w:p>
      <w:r>
        <w:rPr>
          <w:b/>
        </w:rPr>
        <w:t>E. 3</w:t>
      </w:r>
    </w:p>
    <w:p>
      <w:r>
        <w:t>Le recours contre la décision d'extradition doit être rejeté.</w:t>
      </w:r>
    </w:p>
    <w:p>
      <w:r>
        <w:rPr>
          <w:b/>
        </w:rPr>
        <w:t>E. 4</w:t>
      </w:r>
    </w:p>
    <w:p>
      <w:r>
        <w:t>Le recourant sollicite l’octroi de l’assistance judiciaire et la nomination de Me Thüler en qualité de défenseur d’office.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w:t>
      </w:r>
    </w:p>
    <w:p>
      <w:r>
        <w:t>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En l'espèce, l'unique grief soulevé par le recourant s'est avéré irrecevable. Partant, la demande d'assistance judiciaire doit être rejetée, le recours ayant été manifestement voué à l'échec.</w:t>
      </w:r>
    </w:p>
    <w:p>
      <w:r>
        <w:rPr>
          <w:b/>
        </w:rPr>
        <w:t>E. 5</w:t>
      </w:r>
    </w:p>
    <w:p>
      <w:r>
        <w:t>et 8 al. 3 du règlement du Tribunal pénal fédéral sur les frais, émoluments, dépens et indemnités de la procédure pénale fédérale du 31 août 2010 [RFPPF; RS 173.713.162] et art. 63 al. 5 PA). Le recourant supportera ainsi les frais du présent arrêt qui seront fixés, en tenant compte de sa situation financière, à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