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RR.2014.52 vom 6. Mai 2014</w:t>
      </w:r>
    </w:p>
    <w:p>
      <w:r>
        <w:t>Bundesstrafgericht, 2014-05-06, FR</w:t>
      </w:r>
    </w:p>
    <w:p>
      <w:r>
        <w:rPr>
          <w:b/>
        </w:rPr>
        <w:t xml:space="preserve">Quelle: </w:t>
      </w:r>
      <w:r>
        <w:t>https://mcp.opencaselaw.ch/entscheid/bstger_RR.2014.52</w:t>
      </w:r>
    </w:p>
    <w:p>
      <w:r>
        <w:t>FR: TPF RR.2014.52 du 6 mai 2014</w:t>
      </w:r>
    </w:p>
    <w:p>
      <w:r>
        <w:t>IT: TPF RR.2014.52 del 6 maggio 2014</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w:t>
      </w:r>
    </w:p>
    <w:p>
      <w:r>
        <w:t>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le recours a été déposé en temps utile, conformément à l’art. 17c LTEJUS.</w:t>
      </w:r>
    </w:p>
    <w:p>
      <w:r>
        <w:rPr>
          <w:b/>
        </w:rPr>
        <w:t>E. 1.4.1</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revanche, l’ayant droit économique d’un compte bancaire n’a pas la qualité pour recourir contre la transmission de pièces concernant ledit compte (ATF 122 II 130 consid. 2b). Exceptionnellement, la qualité pour agir est reconnue, depuis une quinzaine d'années, à l'ayant droit d'une société titulaire de compte lorsque celle-ci a été dissoute et liquidée, sous réserve de l'abus de droit (ATF 123 II 153 consid. 2c et d).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MOREILLON/DUPUIS/MAZOU,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arrêts du Tribunal pénal fédéral RR.2012.257 du 2 juillet 2013, consid. 1.2.2; RR.2012.252 du 7 juin 2013, consid. 2.2.1).</w:t>
      </w:r>
    </w:p>
    <w:p>
      <w:r>
        <w:t>D'après la jurisprudence du Tribunal fédéral en la matière, l'élément permettant de démontrer que le recourant est l'ayant droit de la société liquidée est "consid[éré] comme déterminant, [et] il n'[est] nullement abusif d'en exiger la preuve du recourant". Lorsque cet élément ne ressort pas du dossier, le recours est déclaré irrecevable (arrêt du Tribunal fédéral 1C_440/2011 du 17 octobre 2011, consid. 1.5; v. aussi 1C_183/2012 du 12 avril 2012, consid. 1.5; arrêt du Tribunal pénal fédéral RR.2014.93-94 du 17 mars 2014).</w:t>
      </w:r>
    </w:p>
    <w:p>
      <w:r>
        <w:rPr>
          <w:b/>
        </w:rPr>
        <w:t>E. 1.4.2</w:t>
      </w:r>
    </w:p>
    <w:p>
      <w:r>
        <w:t>En l'espèce, le recours a été interjeté par plusieurs sociétés ainsi que par C. et F. En leur qualité de titulaires des comptes n° 1 et n° 2 ouverts auprès de la banque K., A. Limited, d'une part, et F. et C., d'autre part, disposent de la qualité pour recourir contre la transmission de la documentation bancaire relative à leurs comptes. En revanche, les sociétés B. Ltd, D. Limited et E. Ltd ne disposent pas de la qualité pour recourir contre la transmission de la documentation bancaire relative aux comptes ouverts en leurs noms dans la mesure où ces sociétés ont été liquidées. Ainsi, les recours interjetés par B. Ltd s'agissant des comptes n° 3 et n° 4, par D. Limited pour les comptes n° 5 et n° 6 et par E. Ltd pour les comptes n° 7 et n° 8 tous ouverts auprès de la banque K., ne sont pas recevables. Se pose alors la question de savoir si C. dispose de la qualité pour recourir contre la transmission à l'étranger de la documentation bancaire relative aux six comptes ouverts aux noms des trois sociétés liquidées. C. n'a fourni, à l'appui de son recours, aucune pièce indiquant qu'il est l'ayant droit économique des comptes n° 3 et n° 4 ouverts au nom de B. Ltd, n° 5 et n° 6 ouverts au nom de D. Limited ainsi que n° 7 et n° 8 au nom de E. Ltd. Quand bien même tel avait été le cas, encore aurait-il dû démontrer, pièces à l'appui, qu'il est le bénéficiaire de la liquidation de B. Ltd, D. Limited et E. Ltd. Partant, C. ne dispose pas de la qualité pour recourir contre la transmission de la documentation bancaire relative aux comptes ouverts aux noms des sociétés B. Ltd, D. Limited et E. Ltd.</w:t>
      </w:r>
    </w:p>
    <w:p>
      <w:r>
        <w:rPr>
          <w:b/>
        </w:rPr>
        <w:t>E. 1.5</w:t>
      </w:r>
    </w:p>
    <w:p>
      <w:r>
        <w:t>Le recours interjeté par B. Ltd, D. Limited et E. Ltd ainsi que celui interjeté par C. au nom de ces trois sociétés liquidées et en son nom propre pour les comptes n° 3, n° 4, n° 5, n° 6, n° 7 et n° 8 doit être déclaré irrecevable. Le recours interjeté par A. Limited pour le compte n° 1 et par F. et C. pour le compte n° 2 est, quant à lui, recevable.</w:t>
      </w:r>
    </w:p>
    <w:p>
      <w:r>
        <w:rPr>
          <w:b/>
        </w:rPr>
        <w:t>E. 2</w:t>
      </w:r>
    </w:p>
    <w:p>
      <w:r>
        <w:t>février 2010, consid. 4.1; ZIMMERMANN, op. cit., n° 722). En l'espèce, la demande d'entraide américaine porte expressément sur la transmission de la documentation bancaire relative au compte n° 1 au nom de A. Limited et au compte n° 2 ouvert aux noms de F. et C. pour la période allant du 1 janvier 1996 au 31 décembre 2009 (act. 1.2 p. 12 et 14). Au regard du principe de l'utilité potentielle, il se justifie de transmettre non seulement la documentation relative à la période demandée, mais également d'informer l'autorité requérante des transactions qui ont pu être opérées avant et après la période concernée par la commission rogatoire. La documentation bancaire à transmettre doit, partant, s'étendre dès l'ouverture du compte jusqu'à la date de la décision de clôture, les deux comptes n° 1 et n° 2 n'étant pas clôturés (v. act. 1.5).</w:t>
      </w:r>
    </w:p>
    <w:p>
      <w:r>
        <w:rPr>
          <w:b/>
        </w:rPr>
        <w:t>E. 2.1</w:t>
      </w:r>
    </w:p>
    <w:p>
      <w:r>
        <w:t>Aux termes de l'art. 12 al. 3 lit. b et c TEJUS, l'Etat requis consent à la présence de l'autorité requérante lorsque celle-ci facilite la procédure. Il est de jurisprudence constante que la présence des agents étrangers conduisant l'enquête est de nature à faciliter grandement l'exécution de la demande d'entraide, de sorte que leur participation à l'exécution de celle-ci doit être accordée largement (arrêts du Tribunal fédéral 1A.369/1996 du 28 janvier 1997, consid. 4; 1A.85/1996 du 4 juin 1996, consid. 5b). Il sied de préciser que les règles applicables à l'entraide sont respectées pour autant que la présence de fonctionnaires étrangers n'a pas pour conséquence de porter à la connaissance des autorités de l'Etat requérant des faits touchant au domaine secret avant le prononcé d'une décision définitive sur l'octroi et l'étendue de l'entraide, ce risque pouvant être évité par la fourniture, par l'autorité requérante, de garanties quant à la non- utilisation prématurée des informations (ATF 128 II 211 consid. 2.1; arrêt du Tribunal fédéral 1A.3/2007 du 11 janvier 2007, consid. 2.3 et 1A.217/2004 du 18 octobre 2004, consid. 2.6; ZIMMERMANN, La coopération judiciaire internationale en matière pénale, 3e éd., Berne 2009, n° 409). Il est de jurisprudence constante que l'interdiction d'utiliser les informations recueillies, de prendre des notes ou de faire des copies et d'accéder aux procès-verbaux d'audition constituent des garanties suffisantes (ATF 131 II 132 consid. 2.2; arrêt du Tribunal fédéral 1A.215/2006 du 7 novembre 2006, consid. 1.3; ég. ZIMMERMANN, op. cit., n° 409). Suite à la demande d’entraide formulée par les Etats-Unis en date du 23 mars 2012, le MPC a autorisé les représentants de l’autorité requérante à consulter le dossier de la procédure suisse afin de faciliter l'exécution de la demande d'entraide et de mieux cibler les pièces pertinentes pour ladite procédure. Dans la mesure où plusieurs Etats ont présenté des commissions rogatoires à la Suisse dans le cadre des faits entourant les opérations effectuées par C. en rapport avec la société I., la consultation a eu lieu en même temps pour les représentants des différents Etats. A</w:t>
      </w:r>
    </w:p>
    <w:p>
      <w:r>
        <w:t>l'issue de la consultation, les représentants tant des Etats-Unis que de tous les autres Etats requérants ont signé une déclaration de garantie quant à la non utilisation prématurée des informations et ils ont remis aux autorités suisses toutes les notes manuscrites prises lors de leur séjour. Il ressort également du procès-verbal de consultation du 12 juillet 2013 établi par l'autorité d'exécution (MPC) que le procureur fédéral en charge de l'exécution de l'entraide s'est assuré qu'aucune copie ni photocopie n'a été prise lors de la consultation (v. act. 8.3). Conforme à la jurisprudence susmentionnée, cette pratique n'a pas à être remise en question.</w:t>
      </w:r>
    </w:p>
    <w:p>
      <w:r>
        <w:rPr>
          <w:b/>
        </w:rPr>
        <w:t>E. 2.2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w:t>
      </w:r>
    </w:p>
    <w:p>
      <w:r>
        <w:t>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du compte, afin notamment de connaître l’identité de l’ayant droit économique et des signataires autorisés. Elle dispose également d’un intérêt à être informée de toute transaction susceptible de s’inscrire dans le mécanisme mis en place par les personnes sous enquête aux Etats-Unis.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w:t>
      </w:r>
    </w:p>
    <w:p>
      <w:r>
        <w:t>poursuivi dans l’Etat requérant (arrêts du Tribunal pénal fédéral RR.2010.173 du 13 octobre 2010, consid. 4.2.4/a et RR.2009.320 du</w:t>
      </w:r>
    </w:p>
    <w:p>
      <w:r>
        <w:rPr>
          <w:b/>
        </w:rPr>
        <w:t>E. 2.3</w:t>
      </w:r>
    </w:p>
    <w:p>
      <w:r>
        <w:t>Le grief doit être rejeté.</w:t>
      </w:r>
    </w:p>
    <w:p>
      <w:r>
        <w:rPr>
          <w:b/>
        </w:rPr>
        <w:t>E. 3</w:t>
      </w:r>
    </w:p>
    <w:p>
      <w:r>
        <w:t>De plus, les recourants allèguent que les règles applicables au tri des pièces ont été violées. Toujours selon les recourants, ils "auraient dû être informés sur les modalités de tri mises en œuvre par le MPC sur délégation de l'OFJ, et ceci fait, auraient dû se faire aménager la possibilité concrète et effective de se déterminer sur la question du tri des pièces" (mémoire de recours, act. 1, p. 12).</w:t>
      </w:r>
    </w:p>
    <w:p>
      <w:r>
        <w:rPr>
          <w:b/>
        </w:rPr>
        <w:t>E. 3.1</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3.2</w:t>
      </w:r>
    </w:p>
    <w:p>
      <w:r>
        <w:t>En l’espèce, les recourants ont été informés en date du 11 novembre 2013 que l'OFJ envisageait de transmettre aux autorités américaines la documentation bancaire relative au compte n° 1 ouvert au nom de A. Limited et celle relative au compte n° 2 aux noms de F. et C. (act. 1.8). Ils ont exercé leur droit d’être entendus par courrier du 18 décembre 2013, dans lequel ils se sont opposés à toute transmission des documents bancaires les concernant (act. 1.11).</w:t>
      </w:r>
    </w:p>
    <w:p>
      <w:r>
        <w:rPr>
          <w:b/>
        </w:rPr>
        <w:t>E. 3.3</w:t>
      </w:r>
    </w:p>
    <w:p>
      <w:r>
        <w:t>Les règles applicables en matière de tri des pièces ayant été respectées, le grief doit être rejeté.</w:t>
      </w:r>
    </w:p>
    <w:p>
      <w:r>
        <w:rPr>
          <w:b/>
        </w:rPr>
        <w:t>E. 4</w:t>
      </w:r>
    </w:p>
    <w:p>
      <w:r>
        <w:t>Finalement, A. Limited et F. et C. invoquent une violation du principe ne bis in idem. Ils se prévalent de l'abandon des poursuites contre C. au Royaume-Uni du chef de corruption d'agents publics étrangers qui aurait pour conséquence de réduire à néant le bien-fondé de la demande d'entraide judiciaire présentée par les Etats-Unis. Quel que soit l'état de la procédure ouverte au Royaume-Uni à l'encontre de C., celle-ci n'a pas à être prise en compte dans le cadre de la présente procédure d'entraide. Les recourants perdent en effet de vue que ce n'est pas cet Etat qui requiert l'entraide, mais les Etats-Unis. Or, ce dernier Etat n'a guère retiré sa demande d'entraide. Il est de jurisprudence constante que l'entraide doit être accordée tant que la demande n'est pas retirée par l'Etat requérant et cela quand bien même il existerait des éléments susceptibles de mettre hors de cause le recourant dans l'Etat requérant. Il convient finalement de relever que, dans le cas d'espèce, la procédure aux Etats-Unis est ouverte à l'encontre non seulement de C. mais également de "related entities" et de G. Inc. et "its officers, employees, subsidiaries, agents ans affiliates" (commission rogatoire, act. 8.1, p. 1), du chef de blanchiment d'argent, en sus de celui de corruption. Par conséquent, l'on ne saurait tenir compte de l'argument des recourants. Le grief doit ainsi être rejeté.</w:t>
      </w:r>
    </w:p>
    <w:p>
      <w:r>
        <w:rPr>
          <w:b/>
        </w:rPr>
        <w:t>E. 5</w:t>
      </w:r>
    </w:p>
    <w:p>
      <w:r>
        <w:t>Le recours doit être rejeté dans la mesure où il est recevable.</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w:t>
      </w:r>
    </w:p>
    <w:p>
      <w:r>
        <w:t>al. 2 LOAP). Les recourants qui succombent supporteront les frais du présent arrêt, lesquels se limitent à un émolument fixé à CHF 7'000.-- (art. 73 al. 2 LOAP et art. 8 al. 3 du règlement du Tribunal pénal fédéral sur les frais, émoluments, dépens et indemnités de la procédure pénale fédérale du 31 août 2010 [RFPPF; RS 173.713.162] et art. 63 al. 5 PA), couvert par l'avance de frais déjà versée. La caisse du Tribunal pénal fédéral restituera aux recourants le solde par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