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RR.2014.33 vom 12. Februar 2014</w:t>
      </w:r>
    </w:p>
    <w:p>
      <w:r>
        <w:t>Bundesstrafgericht, 2014-02-12, DE</w:t>
      </w:r>
    </w:p>
    <w:p>
      <w:r>
        <w:rPr>
          <w:b/>
        </w:rPr>
        <w:t xml:space="preserve">Quelle: </w:t>
      </w:r>
      <w:r>
        <w:t>https://mcp.opencaselaw.ch/entscheid/bstger_RR.2014.33</w:t>
      </w:r>
    </w:p>
    <w:p>
      <w:r>
        <w:t>FR: TPF RR.2014.33 du 12 février 2014</w:t>
      </w:r>
    </w:p>
    <w:p>
      <w:r>
        <w:t>IT: TPF RR.2014.33 del 12 febbraio 2014</w:t>
      </w:r>
    </w:p>
    <w:p>
      <w:pPr>
        <w:pStyle w:val="Heading2"/>
      </w:pPr>
      <w:r>
        <w:t>Regeste</w:t>
      </w:r>
    </w:p>
    <w:p>
      <w:r>
        <w:t>Internationale Rechtshilfe in Strafsachen an Österreich. Anwesenheit ausländischer Verfahrensbeteiligter. Zwischenverfügung (Art. 65a IRSG; Art. 80e Abs. 2 lit. b IRSG).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März 1981 über internationale Rechtshilfe in Strafsachen (IRSG; SR 351.1) und die Verordnung vom 24. Februar 1982 über internationale Rechtshilfe in Strafsachen (IRSV; SR 351.11), zur Anwendung gelangt, soweit das Staatsvertragsrecht bestimmte Fragen nicht abschliessend re- gelt (vgl. Art. 1 Abs. 1 IRSG); ebenso das Übereinkommen vom 8. Novem- ber 1990 über Geldwäscherei sowie Ermittlung, Beschlagnahme und Ein- ziehung von Erträgen aus Straftaten (GwUe; SR 0.311.53) anwendbar ist; das innerstaatliche Recht nach dem Günstigkeitsprinzip auch dann gilt, wenn dieses geringere Anforderungen an die Rechtshilfe stellt (BGE 137 IV 33 E. 2.2.2; 136 IV 82 E. 3.1, 129 II 462 E. 1.1 S. 464); die Wahrung der Menschenrechte vorbehalten bleibt (BGE 135 IV 212 E. 2.3; 123 II 595 E. 7c);</w:t>
      </w:r>
    </w:p>
    <w:p>
      <w:r>
        <w:t>- die Verfügung der ausführenden kantonalen Behörde oder der ausführen- den Bundesbehörde, mit der das Rechtshilfeverfahren abgeschlossen wird, zusammen mit den vorangehenden Zwischenverfügungen der Beschwerde an die Beschwerdekammer des Bundesstrafgerichts unterliegt (Art. 80e Abs. 1 IRSG);</w:t>
      </w:r>
    </w:p>
    <w:p>
      <w:r>
        <w:t>- der Schlussverfügung vorangehende Zwischenverfügungen nur aus- nahmsweise selbständig angefochten werden können, sofern sie u.a. durch die Anwesenheit von Personen, die am ausländischen Prozess beteiligt sind, einen unmittelbaren und nicht wieder gutzumachenden Nachteil be- wirken (Art. 80e Abs. 1 lit. b IRSG); sich die vorliegende Beschwerde ge- gen eine Zwischenverfügung gemäss Art. 80e Abs. 2 lit. b IRSG richtet;</w:t>
      </w:r>
    </w:p>
    <w:p>
      <w:r>
        <w:t>- der Beizug ausländischer Ermittlungsbeamter in den massgebenden inter- nationalen Vereinbarungen (Art. 4 Satz 2 EUeR; Art. III Zusatzvertrag) so- wie in Art. 65a IRSG ausdrücklich vorgesehen ist; dieser nicht zuletzt der Verhältnismässigkeit bzw. der sachbezogenen Begrenzung der beantrag- ten Rechtshilfemassnahmen dienen kann (vgl. Urteil des Bundesgerichts 1A.259/2005 vom 15. November 2005, E. 1.2);</w:t>
      </w:r>
    </w:p>
    <w:p>
      <w:r>
        <w:t>- gemäss konstanter Rechtsprechung des Bundesgerichts die blosse Anwe- senheit ausländischer Prozessbeteiligter an einer Rechtshilfehandlung für den Betroffenen in der Regel noch keinen unmittelbaren und nicht wieder gutzumachenden Nachteil i.S.v. Art. 80e Abs. 2 IRSG zur Folge hat;</w:t>
      </w:r>
    </w:p>
    <w:p>
      <w:r>
        <w:t>- 4 -</w:t>
      </w:r>
    </w:p>
    <w:p>
      <w:r>
        <w:t>- ein solcher Nachteil zu bejahen ist, wenn die Gefahr besteht, dass den aus- ländischen Behörden durch die Teilnahme ihrer Beamten an den Vollzugs- handlungen Tatsachen aus dem Geheimbereich zugänglich gemacht wer- den, bevor über die Gewährung oder den Umfang der Rechtshilfe ent- schieden worden ist (Art. 65a Abs. 3 IRSG; Entscheid des Bundesstrafge- richts RR.2007.6 vom 22. Februar 2007, E. 2.4; Urteile des Bundesgerichts 1A.225/2006 vom 6. März 2007, E. 1.5.1; 1A.215/2006 vom 7. November 2006, E. 1.3; 1A.35/2001 vom 21. Mai 2001, E. 1a; BGE 128 II 211 E. 2.1, je m.w.H.);</w:t>
      </w:r>
    </w:p>
    <w:p>
      <w:r>
        <w:t>- diese Gefahr zu verneinen ist, wenn die schweizerischen Behörden die nach den Umständen geeigneten Vorkehren treffen, um eine vorzeitige Verwendung von Informationen im ausländischen Strafverfahren zu verhin- dern (BGE 128 II 211 E. 2.1 S. 216; 127 II 198 E. 2b S. 203 f.; ZIMMER- MANN, La coopération judiciare internationale en matière pénale, Bern 2009, S. 375 f. N. 409); geeignete Vorkehren die Vollzugsbehörde u.a. dann trifft, wenn sie die ausländischen Beamten verpflichtet, allfällige Er- kenntnisse bis zum Vorliegen einer rechtskräftigen Schlussverfügung im ausländischen Verfahren nicht zu verwenden (TPF 2008 116 E. 5.1); bei Beachtung dieser Grundsätze ein unmittelbarer und nicht wieder gutzuma- chender Nachteil in der Regel zu verneinen ist (Urteil des Bundesgerichts 1A.225/2006 vom 6. März 2007, E. 1.5.1 [publiziert in Die Praxis 11/2007 Nr. 130]; 1A.228/2003 vom 10. März 2004, E. 3.3.1 mit Hinweisen; TPF 2010 96 E. 2.3; ZIMMERMANN, a.a.O., S. 375 f. N. 409);</w:t>
      </w:r>
    </w:p>
    <w:p>
      <w:r>
        <w:t>- sich in der Zwischenverfügung der Text der Garantieerklärung findet, die von den österreichischen Beamten zu unterzeichnen ist; diese sich danach verpflichten, (1) sich passiv zu verhalten und die Weisungen der schweize- rischen Behörden zu befolgen; (2) die Informationen, zu denen sie in der Schweiz bei der Ausführung ihres Ersuchens Zugang erlangen, in keiner Weise, weder zu Ermittlungs- noch zu Beweiszwecken zu verwenden, bis ihnen diese Informationen kraft eines vollstreckbaren schweizerischen Ent- scheids übermittelt worden sind (Schlussverfügung oder Zustimmung zur vereinfachten Übermittlung); (3) die bei der Ausführung des Ersuchens in der Schweiz erlangten Informationen in keinem Fall zu Ermittlungs- oder Beweiszwecken für Verfahren zu verwenden, für welche die Rechtshilfe unzulässig ist oder verweigert wurde (act. 1.2);</w:t>
      </w:r>
    </w:p>
    <w:p>
      <w:r>
        <w:t>- diese von den österreichischen Beamten zu unterzeichnende Garantieer- klärung den Anforderungen der Rechtsprechung genügt; kein vernünftiger Zweifel besteht, dass die Beschwerdegegnerin die österreichischen Beam- ten dazu anhalten wird, die Garantieerklärung vor Akteneinsichtnahme zu</w:t>
      </w:r>
    </w:p>
    <w:p>
      <w:r>
        <w:t>- 5 -</w:t>
      </w:r>
    </w:p>
    <w:p>
      <w:r>
        <w:t>unterzeichnen; ebenso wenig daran zu zweifeln ist, dass die Beschwerde- gegnerin bei den Rechtshilfehandlungen in Anwesenheit österreichischer Behördenvertreter darauf bedacht sein wird, dass diese die Auflagen ein- halten; nach dem völkerrechtlichen Vertrauensprinzip zudem grundsätzlich davon auszugehen ist, dass der ersuchende Staat bzw. dessen Beamten diese Zusicherung auch beachten werden (Urteile des Bundesgerichts 1A.225/2006 vom 6. März 2007, E. 1.5.2; 1A.228/2003 vom 10. März 2004, E. 3.3.2);</w:t>
      </w:r>
    </w:p>
    <w:p>
      <w:r>
        <w:t>- es sich bei der Rüge, die Akteneinsicht sei zeitlich zu beschränken, um eine materiellrechtliche Rüge handelt, auf die jedoch nur einzutreten ist, wenn ein unmittelbarer und nicht wieder gutzumachender Nachteil darge- tan ist, welcher aber aufgrund der zitierten Rechtsprechung nicht vorliegt; sich die Beschwerdeführer ferner gegen die Herausgabe des Aktenstücks "BA 02-02 028" wenden, diese Rüge in einem allfälligen Beschwerdever- fahren gegen die Schlussverfügung erhoben werden kann, im vorliegenden Verfahren aber nicht zu hören ist;</w:t>
      </w:r>
    </w:p>
    <w:p>
      <w:r>
        <w:t>- entgegen der Ansicht der Beschwerdeführer die Beschwerdegegnerin nicht einfach allen ausländischen Prozessbeteiligten generell die Anwesenheit in der Schweiz zwecks Akteneinsicht genehmigt, sondern sich mit ihrer Zwi- schenverfügung klar auf die ergänzenden Rechtshilfeersuchen bezieht, worin konkret um Teilnahme der Beamten des Bundeskriminalamtes SOKO Hermes ersucht wird; weshalb sich eine zusätzliche Einschränkung des Personenkreises der berechtigten Personen erübrigt;</w:t>
      </w:r>
    </w:p>
    <w:p>
      <w:r>
        <w:t>- zusammenfassend feststeht, dass die Beschwerdeführer keinen unmittel- baren und nicht wieder gutzumachenden Nachteil im Sinne von Art. 80e Abs. 2 IRSG dargetan haben, weshalb auf die Beschwerde nicht einzutre- ten ist;</w:t>
      </w:r>
    </w:p>
    <w:p>
      <w:r>
        <w:t>- das Gesuch um Erteilung der aufschiebenden Wirkung der Beschwerde mit dem vorliegenden Entscheid hinfällig wird und daher als gegenstandslos abzuschreiben ist;</w:t>
      </w:r>
    </w:p>
    <w:p>
      <w:r>
        <w:t>- bei diesem Ausgang des Verfahrens die Beschwerdeführer kostenpflichtig werden (Art. 63 Abs. 1 VwVG i.V.m. Art. 39 Abs. 1 lit. b StBOG); für die Be- rechnung der Gerichtsgebühren gemäss Art. 63 Abs. 5 VwVG das Regle- ment des Bundesstrafgerichts vom 31. August 2010 über die Kosten, Ge- bühren und Entschädigungen im Bundesstrafverfahren (BStKR; SR 173.713.162) zur Anwendung gelangt; die Gebühr auf Fr. 2'000.-- an- zusetzen ist.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