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RR.2014.308 vom 30. Dezember 2014</w:t>
      </w:r>
    </w:p>
    <w:p>
      <w:r>
        <w:t>Bundesstrafgericht, 2014-12-30, IT</w:t>
      </w:r>
    </w:p>
    <w:p>
      <w:r>
        <w:rPr>
          <w:b/>
        </w:rPr>
        <w:t xml:space="preserve">Quelle: </w:t>
      </w:r>
      <w:r>
        <w:t>https://mcp.opencaselaw.ch/entscheid/bstger_RR.2014.308</w:t>
      </w:r>
    </w:p>
    <w:p>
      <w:r>
        <w:t>FR: TPF RR.2014.308 du 30 décembre 2014</w:t>
      </w:r>
    </w:p>
    <w:p>
      <w:r>
        <w:t>IT: TPF RR.2014.308 del 30 dicembre 2014</w:t>
      </w:r>
    </w:p>
    <w:p>
      <w:pPr>
        <w:pStyle w:val="Heading2"/>
      </w:pPr>
      <w:r>
        <w:t>Regeste</w:t>
      </w:r>
    </w:p>
    <w:p>
      <w:r>
        <w:t>Estradizione al Montenegro. Decisione di estradizione (art. 55 AIMP).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AIMP; DTF 137 IV 33 consid. 2.2.2; 136 IV 82 consid. 3.1; 130 II 337 consid. 1; 128 II 355 consid. 1; 124 II 180 consid. 1a; 123 II 134 consid. 1a; 122 II 140 consid. 2, 373 consid. 1a). È fatto salvo il rispetto dei diritti fon- damentali (DTF 135 IV 212 consid. 2.3; 123 II 595 consid. 7c; TPF 2008 24, consid. 1.1).</w:t>
      </w:r>
    </w:p>
    <w:p>
      <w:r>
        <w:t>- 4 -</w:t>
      </w:r>
    </w:p>
    <w:p>
      <w:r>
        <w:rPr>
          <w:b/>
        </w:rPr>
        <w:t>E. 1.1</w:t>
      </w:r>
    </w:p>
    <w:p>
      <w:r>
        <w:t>L'estradizione fra il Montenegro e la Confederazione Svizzera è anzitutto retta dalla Convenzione europea di estradizione del 13 dicembre 1957 (CEEstr; RS 0.353.1), entrata in vigore il 20 marzo 1967 per il nostro Paese ed il 6 giugno 2006 per il Montenegro, dal relativo Protocollo addizionale del 15 ottobre 1975, nonché dal Secondo Protocollo addizionale del 17 marzo 1978, entrambi entrati in vigore il 9 giugno 1985 per la Svizzera ed il 6 giugno 2006 per il Montenegro (RS 0.353.11 e 0.353.12).</w:t>
      </w:r>
    </w:p>
    <w:p>
      <w:r>
        <w:rPr>
          <w:b/>
        </w:rPr>
        <w:t>E. 1.2</w:t>
      </w:r>
    </w:p>
    <w:p>
      <w:r>
        <w:t>Alle questioni che il prevalente diritto internazionale contenuto in detto trat- tato e nei relativi protocolli non regola espressamente o implicitamente, come pure quando il diritto nazionale sia più favorevole all'estradizione ri- spetto a quello convenzionale (cosiddetto principio di favore), si applica l'AIMP, unitamente alla relativa ordinanza (OAIMP; RS 351.11; v. art. 1 cpv.</w:t>
      </w:r>
    </w:p>
    <w:p>
      <w:r>
        <w:rPr>
          <w:b/>
        </w:rPr>
        <w:t>E. 2</w:t>
      </w:r>
    </w:p>
    <w:p>
      <w:r>
        <w:t>L'insorgente sostiene che l'estradizione è da rifiutare già solo per il fatto che la decisione di condanna fornita dalle autorità estere "non riveste alcu- na validità formale, non è autentica e non costituisce un atto giudiziario". Egli afferma in particolare che la copia del documento trasmessa per tele- fax in lingua presumibilmente serba, sia priva di autenticità e quindi non su- scettibile di costituire un atto giudiziario sulla base del quale poter confer- mare la carcerazione di A.</w:t>
      </w:r>
    </w:p>
    <w:p>
      <w:r>
        <w:rPr>
          <w:b/>
        </w:rPr>
        <w:t>E. 2.1</w:t>
      </w:r>
    </w:p>
    <w:p>
      <w:r>
        <w:t>L'art. 12 n. 2 lett. a CEEstr prevede che a sostegno della domanda di estradizione l'autorità rogante deve produrre l'originale o la copia autentica di una decisione esecutiva di condanna o di un mandato d'arresto o di qualsiasi altro atto avente la stessa forza, rilasciato nelle forme prescritte nella legge della Parte richiedente. La domanda deve inoltre comprendere un esposto dei fatti, per i quali l'estradizione è domandata e una copia delle disposizioni legali applicabili (lett. b e c). Disposizioni analoghe sono in so- stanza contenute negli art. 28 e 41 AIMP (v. anche art. 38 cpv. 1 lett. d AIMP), con la sola differenza che in base al diritto interno (qui prioritario in virtù del principio di favore; v. supra consid. 1.2) basta una "copia certificata conforme" della decisione penale esecutoria e dell'ordine di arresto, come tale firmata da un'autorità ufficiale dello Stato estero ma non necessaria- mente dalla stessa che ha emanato la decisione. Determinante ai fini dell'estradizione è il fatto che l'insieme dei documenti, validamente tra- smessi secondo vie diplomaticamente riconosciute, permette di inquadrare sufficientemente i fatti rimproverati all'estradando. L'esposto dei fatti litigio- so, non lacunoso e privo di contraddizioni manifeste e immediatamente ri- levabili, è quindi vincolante (DTF 125 II 250 consid. 5b, 123 II 279 consid. 2b, 118 Ib 111 consid. 5b, nonché sentenza del Tribunale federale 1A.152/2003 del 14 agosto 2003, consid. 2.3).</w:t>
      </w:r>
    </w:p>
    <w:p>
      <w:r>
        <w:rPr>
          <w:b/>
        </w:rPr>
        <w:t>E. 2.2</w:t>
      </w:r>
    </w:p>
    <w:p>
      <w:r>
        <w:t>Nel caso concreto, l'autorità rogante ha prodotto una copia (con relativa traduzione in italiano) sia dell'ordine di arresto del 5 dicembre 2013 (br.Iks. 155/2013), sia della sentenza del Tribunale di Kotor (br.K. 369/12/12) del</w:t>
      </w:r>
    </w:p>
    <w:p>
      <w:r>
        <w:rPr>
          <w:b/>
        </w:rPr>
        <w:t>E. 7</w:t>
      </w:r>
    </w:p>
    <w:p>
      <w:r>
        <w:t>Le spese seguono la soccombenza (v. art. 63 cpv. 1 della legge federale sulla procedura amministrativa del 20 dicembre 1968 [PA; RS 172.021] ri- chiamato l'art. 39 cpv. 2 lett. b LOAP). La tassa di giustizia è calcolata giu- sta gli art. 73 cpv. 2 LOAP, 63 cpv. 4 bis PA, nonché 5 e 8 cpv. 3 del rego- lamento del 31 agosto 2010 sulle spese, gli emolumenti, le ripetibili e le in- dennità della procedura penale federale (RSPPF; RS 173.713.162) ed è fissata nella fattispecie a fr. 3'000.--. Essa è coperta dall'anticipo delle spe- se già versato.</w:t>
      </w:r>
    </w:p>
    <w:p>
      <w:r>
        <w:t>- 12 -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