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RR.2014.289 vom 4. Dezember 2014</w:t>
      </w:r>
    </w:p>
    <w:p>
      <w:r>
        <w:t>Bundesstrafgericht, 2014-12-04, DE</w:t>
      </w:r>
    </w:p>
    <w:p>
      <w:r>
        <w:rPr>
          <w:b/>
        </w:rPr>
        <w:t xml:space="preserve">Quelle: </w:t>
      </w:r>
      <w:r>
        <w:t>https://mcp.opencaselaw.ch/entscheid/bstger_RR.2014.289</w:t>
      </w:r>
    </w:p>
    <w:p>
      <w:r>
        <w:t>FR: TPF RR.2014.289 du 4 décembre 2014</w:t>
      </w:r>
    </w:p>
    <w:p>
      <w:r>
        <w:t>IT: TPF RR.2014.289 del 4 dicembre 2014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Eingaben vom 26. Oktober 2014 lauten gleich, sind von der gleichen Person verfasst und betreffen die gleiche Rechtshilfebehörde. Die Verfah- ren RR.2014.289 und RR.2014.290 sind zu vereinigen (vgl. Entscheid des Bundesstrafgerichts RR.2013.301 vom 22. Mai 2014, E. 2).</w:t>
      </w:r>
    </w:p>
    <w:p>
      <w:r>
        <w:rPr>
          <w:b/>
        </w:rPr>
        <w:t>E. 2</w:t>
      </w:r>
    </w:p>
    <w:p>
      <w:r>
        <w:t>Mit Schreiben vom 8. November 2014 (act. 5) zog A. die Beschwerden zu- rück. Demnach war schon sein Beschwerdewille fraglich. Die Verfahren sind jedenfalls zufolge Rückzugs der Beschwerden erledigt und entspre- chend von der Geschäftskontrolle abzuschreiben.</w:t>
      </w:r>
    </w:p>
    <w:p>
      <w:r>
        <w:rPr>
          <w:b/>
        </w:rPr>
        <w:t>E. 3</w:t>
      </w:r>
    </w:p>
    <w:p>
      <w:r>
        <w:t>Mangels relevanten Aufwands wird keine Gerichtsgebühr erhoben.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