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RR.2014.288 vom 9. Januar 2015</w:t>
      </w:r>
    </w:p>
    <w:p>
      <w:r>
        <w:t>Bundesstrafgericht, 2015-01-09, DE</w:t>
      </w:r>
    </w:p>
    <w:p>
      <w:r>
        <w:rPr>
          <w:b/>
        </w:rPr>
        <w:t xml:space="preserve">Quelle: </w:t>
      </w:r>
      <w:r>
        <w:t>https://mcp.opencaselaw.ch/entscheid/bstger_RR.2014.288</w:t>
      </w:r>
    </w:p>
    <w:p>
      <w:r>
        <w:t>FR: TPF RR.2014.288 du 9 janvier 2015</w:t>
      </w:r>
    </w:p>
    <w:p>
      <w:r>
        <w:t>IT: TPF RR.2014.288 del 9 gennaio 2015</w:t>
      </w:r>
    </w:p>
    <w:p>
      <w:pPr>
        <w:pStyle w:val="Heading2"/>
      </w:pPr>
      <w:r>
        <w:t>Regeste</w:t>
      </w:r>
    </w:p>
    <w:p>
      <w:r>
        <w:t>Auslieferung an Deutschland. Auslieferungsentscheid (Art. 55 IRSG). Auslieferungshaftbefehl (Art. 48 Abs. 2 IRSG). Rückzug der Beschwerden.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September 2014);</w:t>
      </w:r>
    </w:p>
    <w:p>
      <w:r>
        <w:t>- für die Berechnung der Gerichtsgebühren das Reglement vom 31. Au- gust 2010 des Bundesstrafgerichts über die Kosten, Gebühren und Ent- schädigungen in Bundesstrafverfahren (BStKR; SR 173.713.162) zur An- wendung gelangt (Art. 63 Abs. 5 VwVG i.V.m. Art. 53 Abs. 2 lit. a StBOG) und die Gerichtsgebühr vorliegend auf Fr. 1'300.-- anzusetzen ist, unter An- rechnung des entsprechenden Betrags aus dem im Beschwerdeverfahren RR.2014.288 geleisteten Kostenvorschuss in der Höhe von Fr. 3'000.--;</w:t>
      </w:r>
    </w:p>
    <w:p>
      <w:r>
        <w:t>- die Bundesstrafgerichtskasse anzuweisen ist, den Restbetrag von Fr. 1'700.-- der Beschwerdeführerin zurückzuerstatten.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