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RR.2014.281 vom 14. Januar 2015</w:t>
      </w:r>
    </w:p>
    <w:p>
      <w:r>
        <w:t>Bundesstrafgericht, 2015-01-14, IT</w:t>
      </w:r>
    </w:p>
    <w:p>
      <w:r>
        <w:rPr>
          <w:b/>
        </w:rPr>
        <w:t xml:space="preserve">Quelle: </w:t>
      </w:r>
      <w:r>
        <w:t>https://mcp.opencaselaw.ch/entscheid/bstger_RR.2014.281</w:t>
      </w:r>
    </w:p>
    <w:p>
      <w:r>
        <w:t>FR: TPF RR.2014.281 du 14 janvier 2015</w:t>
      </w:r>
    </w:p>
    <w:p>
      <w:r>
        <w:t>IT: TPF RR.2014.281 del 14 gennaio 2015</w:t>
      </w:r>
    </w:p>
    <w:p>
      <w:pPr>
        <w:pStyle w:val="Heading2"/>
      </w:pPr>
      <w:r>
        <w:t>Regeste</w:t>
      </w:r>
    </w:p>
    <w:p>
      <w:r>
        <w:t>Assistenza giudiziaria internazionale in materia penale all'Italia/Consegna di mezzi di prova (art. 74 AIMP):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w:t>
      </w:r>
    </w:p>
    <w:p>
      <w:r>
        <w:t>- 5 -</w:t>
      </w:r>
    </w:p>
    <w:p>
      <w:r>
        <w:t>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il sopraccitato scritto dell'8 ottobre 2014, mediante il quale l'AFD conferma la propria decisione di chiusura del 16 giugno 2014, il ricorso è ricevibile sotto il profilo degli art. 25 cpv. 1, 80e cpv. 1 e 80k AIMP. La legittimazione del ricorrente, titolare del conto ogget- to della criticata misura rogatoriale, è pacifica (v. art. 80h lett. b AIMP e art. 9a lett. a OAIMP; DTF 137 IV 134 consid. 5.2.1; 118 Ib 547 consid. 1d; TPF 2007 79 consid. 1.6).</w:t>
      </w:r>
    </w:p>
    <w:p>
      <w:r>
        <w:rPr>
          <w:b/>
        </w:rPr>
        <w:t>E. 2</w:t>
      </w:r>
    </w:p>
    <w:p>
      <w:r>
        <w:t>Il ricorrente afferma che l'AFD, dopo avergli garantito la notifica di una nuo- va decisione di chiusura riguardante la trasmissione della documentazione concernente il suo conto bancario presso la banca E., avrebbe inspiega- bilmente cambiato idea, confermando semplicemente la sua decisione di chiusura del 16 giugno 2014. Tale modo di procedere costituirebbe un pa- lese "venire contra factum proprium".</w:t>
      </w:r>
    </w:p>
    <w:p>
      <w:r>
        <w:rPr>
          <w:b/>
        </w:rPr>
        <w:t>E. 2.1</w:t>
      </w:r>
    </w:p>
    <w:p>
      <w:r>
        <w:t>Il principio della buona fede costituisce il corollario di un principio più gene- rale, quello della fiducia, il quale presuppone che i rapporti giuridici si fon- dano e si organizzano su una base di lealtà e di rispetto della parola data (v. ANDREAS AUER/GIORGIO MALINVERNI/MICHEL HOTTELIER, Droit constitu- tionnel suisse, vol. II, 3a ediz., Berna 2013, n. 1167). Ancorato all'art. 9 Cost. e valido per tutta l'attività statale, il principio della buona fede esige che l'amministrazione e gli amministrati si comportino reciprocamente in maniera leale. In particolare, l'amministrazione deve astenersi da ogni comportamento atto ad ingannare l'amministrato, non potendo essa trarre</w:t>
      </w:r>
    </w:p>
    <w:p>
      <w:r>
        <w:t>- 6 -</w:t>
      </w:r>
    </w:p>
    <w:p>
      <w:r>
        <w:t>alcun vantaggio dalle conseguenze di un tale comportamento (v. DTF 124 II 265 consid. 4a). A determinate condizioni, il cittadino può esigere dall'au- torità che questa si conformi alle precise promesse o assicurazioni fattegli e non tradisca la fiducia in essa legittimamente riposta (cfr. DTF 128 II 112 consid. 10b/aa; 118 Ib 580 consid. 5a). Il diritto alla protezione della buona fede può parimenti essere invocato in presenza di un comportamento dell'amministrazione suscettibile di creare nell'amministrato un'aspettativa o una speranza legittima (DTF 129 II 361 consid. 7.1; 126 II 377 consid. 3a con riferimenti; 111 Ib 124 consid. 4; più ampiamente v. anche HEINZ HAUSHEER/REGINA E. AEBI-MÜLLER, Berner Kommentar, Bd. 1, 1. Abt., Ber- na 2012, n. 268-281 ad art. 2 CCS). L'amministrazione, tuttavia, deve esse- re intervenuta nei confronti dell'amministrato in una situazione concreta (DTF 125 I 267 consid. 4c), dovendo il predetto aver preso, fondandosi sul- le promesse o il comportamento dell'amministrazione, disposizioni che non sarebbero modificabili senza subire un pregiudizio (DTF 129 II 361 con- sid. 7.1; 121 V 65 consid. 2a; 114 Ia 207 consid. 3a).</w:t>
      </w:r>
    </w:p>
    <w:p>
      <w:r>
        <w:rPr>
          <w:b/>
        </w:rPr>
        <w:t>E. 2.2</w:t>
      </w:r>
    </w:p>
    <w:p>
      <w:r>
        <w:t>In concreto, l'AFD, sebbene avesse già notificato alla banca E. la decisione di chiusura del 16 giugno 2014, la quale riguardava anche il conto n. 1 inte- stato al ricorrente, ha, a due riprese (v. act. 8.9 e 8.10) e di propria iniziati- va, garantito a quest'ultimo, in maniera chiara ed inequivocabile, l'emana- zione di una nuova decisione di chiusura relativamente alla trasmissione della documentazione bancaria legata a detto conto. Tali assicurazioni dell'autorità hanno in pratica fatto desistere il ricorrente dall'impugnare la decisione del 16 giugno 2014, notificatagli dalla banca E. il 24 giugno 2014. Ora, alla luce di tale situazione, all'AFD non restava che emettere una nuo- va decisione di chiusura nelle forme abituali, con un termine di ricorso di 30 giorni, e non interpellare il ricorrente come ha fatto con il suo scritto dell'8 ottobre 2014 (v. act. 8.13), che anche a volerlo considerare come una decisione di chiusura sarebbe chiaramente motivato in maniera insufficien- te visto che non fa altro che rinviare ad una decisione che non concerne il ricorrente, senza confrontarsi materialmente con la di lui posizione. Con il suo agire l'AFD non ha rispettato la chiara promessa fatta al ricorrente, così danneggiandolo nelle sue legittime aspettative processuali, ragione per cui il ricorso va accolto e la causa rinviata all'autorità di esecuzione affinché proceda all'emanazione di una decisione di chiusura relativa al conto del ri- corrente rispettosa dei crismi legali abituali.</w:t>
      </w:r>
    </w:p>
    <w:p>
      <w:r>
        <w:rPr>
          <w:b/>
        </w:rPr>
        <w:t>E. 3.1</w:t>
      </w:r>
    </w:p>
    <w:p>
      <w:r>
        <w:t>Visto l'esito della procedura, non si riscuote tassa di giustizia (art. 63 cpv. 2 PA richiamato l'art. 39 cpv. 2 lett. b LOAP). La cassa del Tribunale penale federale restituirà al ricorrente l'anticipo delle spese già pervenuto pari a fr. 5'000.--.</w:t>
      </w:r>
    </w:p>
    <w:p>
      <w:r>
        <w:t>- 7 -</w:t>
      </w:r>
    </w:p>
    <w:p>
      <w:r>
        <w:rPr>
          <w:b/>
        </w:rPr>
        <w:t>E. 3.2</w:t>
      </w:r>
    </w:p>
    <w:p>
      <w:r>
        <w:t>Giusta l'art. 64 cpv. 1 PA, richiamato l'art. 39 cpv. 2 lett. b LOAP, l'autorità di ricorso, se ammette il ricorso in tutto o in parte, può, d'ufficio o a doman- da, assegnare al ricorrente una indennità per le spese indispensabili e rela- tivamente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 ta. L'indennità oraria ammonta almeno a 200 e al massimo a 300 franchi (art. 12 cpv. 1 RSPPF). Davanti alla Corte dei reclami penali, se l'avvocato, come in casu, non presenta alcuna nota delle spese al più tardi al momento dell'inoltro dell’unica o ultima memoria, il giudice fissa l'onorario secondo li- bero apprezzamento (art. 12 cpv. 2 RSPPF). Nel caso concreto si giustifica di fissare in favore del ricorrente un'indennità di fr. 2'000.-- (IVA compresa), la quale è messa a carico dell'AFD in quanto autorità inferiore giusta l'art. 64 cpv. 2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