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RR.2014.280 vom 15. Januar 2015</w:t>
      </w:r>
    </w:p>
    <w:p>
      <w:r>
        <w:t>Bundesstrafgericht, 2015-01-15, DE</w:t>
      </w:r>
    </w:p>
    <w:p>
      <w:r>
        <w:rPr>
          <w:b/>
        </w:rPr>
        <w:t xml:space="preserve">Quelle: </w:t>
      </w:r>
      <w:r>
        <w:t>https://mcp.opencaselaw.ch/entscheid/bstger_RR.2014.280</w:t>
      </w:r>
    </w:p>
    <w:p>
      <w:r>
        <w:t>FR: TPF RR.2014.280 du 15 janvier 2015</w:t>
      </w:r>
    </w:p>
    <w:p>
      <w:r>
        <w:t>IT: TPF RR.2014.280 del 15 gennaio 2015</w:t>
      </w:r>
    </w:p>
    <w:p>
      <w:pPr>
        <w:pStyle w:val="Heading2"/>
      </w:pPr>
      <w:r>
        <w:t>Regeste</w:t>
      </w:r>
    </w:p>
    <w:p>
      <w:r>
        <w:t>Internationale Rechtshilfe in Strafsachen an Italien. Beschwerde gegen Zwischenverfügung betreffend Siegelungsgesuch (Art. 80e Abs. 2 IRSG; Art. 9 IRSG i.V.m. Art. 248 StPO).</w:t>
      </w:r>
    </w:p>
    <w:p>
      <w:pPr>
        <w:pStyle w:val="Heading2"/>
      </w:pPr>
      <w:r>
        <w:t>Erwägungen</w:t>
      </w:r>
    </w:p>
    <w:p>
      <w:r>
        <w:rPr>
          <w:b/>
        </w:rPr>
        <w:t>E. 1.1</w:t>
      </w:r>
    </w:p>
    <w:p>
      <w:r>
        <w:t>Für die Rechtshilfe zwischen Italien und der Schweiz sind in erster Linie das Europäische Übereinkommen vom 20. April 1959 über die Rechtshilfe in Strafsachen (EUeR, SR 0.351.1) sowie der Vertrag vom 10. Septem- ber 1998 zwischen der Schweiz und Italien zur Ergänzung des EUeR und</w:t>
      </w:r>
    </w:p>
    <w:p>
      <w:r>
        <w:t>- 5 -</w:t>
      </w:r>
    </w:p>
    <w:p>
      <w:r>
        <w:t>zur Erleichterung seiner Anwendung (ZV, SR 0.351.945.41)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 gen aufgrund bilateraler Abkommen unberührt bleiben (Art. 48 Abs. 2 SDÜ).</w:t>
      </w:r>
    </w:p>
    <w:p>
      <w:r>
        <w:t>Im Verhältnis zu Italien ebenfalls zur Anwendung kommt das Übereinkom- men vom 8. November 1990 über Geldwäscherei sowie Ermittlung, Be- schlagnahme und Einziehung von Erträgen aus Straftaten (GwUe, SR 0.311.53).</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 te (BGE 135 IV 212 E. 2.3; 123 II 595 E. 7c S. 617).</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i.V.m. Art. 37 Abs. 2 lit. a des Bundesgesetzes über die Orga- nisation der Strafbehörden des Bundes vom 19. März 2010 [StBOG; SR 173.71] und Art. 19 Abs. 1 des Organisationsreglements für das Bun- desstrafgericht vom 31. August 2010 [BStGerOR; SR 173.713.161]).</w:t>
      </w:r>
    </w:p>
    <w:p>
      <w:r>
        <w:t>Der Schlussverfügung vorangehende Zwischenverfügungen können ge- mäss Art. 80e Abs. 2 IRSG selbständig angefochten werden, sofern sie ei- nen unmittelbaren und nicht wieder gutzumachenden Nachteil bewirken durch die Beschlagnahme von Vermögenswerten und Wertgegenständen (lit. a) oder durch die Anwesenheit von Personen, die am ausländischen Prozess beteiligt sind (lit. b).</w:t>
      </w:r>
    </w:p>
    <w:p>
      <w:r>
        <w:t>- 6 -</w:t>
      </w:r>
    </w:p>
    <w:p>
      <w:r>
        <w:t>Diese Rechtsmittelordnung wurde mit der Teilrevision des IRSG vom 1. Februar 1997 eingeführt, welche die Straffung des Rechtshilfeverfahrens bezweckte (BBl 1995 III 11). Der richterliche Rechtsschutz kann danach grundsätzlich erst beansprucht werden, wenn die ausführende Behörde das Rechtshilfeersuchen als ganz oder teilweise erledigt erachtet (MICHEL FÉRAUD, Die neue Rechtsmittelordnung in der Rechtshilfe zur Unterstüt- zung eines Strafverfahrens im Ausland, in: Solothurner Festgabe zum Schweizerischen Juristentag 1998, S. 657 bis 671, S. 660; BBl 1995 III 11). Der Schlussverfügung vorangehende Zwischenverfügungen können ledig- lich ausnahmsweise angefochten werden (FÉRAUD, a.a.O., S. 661; ROBERT ZIMMERMANN, Communication d'informations et de renseignements pour les besoins de l'entraide judiciaire internationale en matière pénale: un para- digme perdu?, in: AJP 2007, S. 64; s. Ziff. 3.2 ff.). Durch die grundsätzliche Beschränkung der Anfechtungsmöglichkeit auf den Zeitpunkt der Erledi- gung des Rechtshilfeersuchens wird einerseits verhindert, dass der inner- staatliche Vollzug durch die Anfechtung von Zwischenverfügungen verzö- gert wird, und andererseits ermöglicht dies dem Rechtshilferichter, die Zu- lässigkeit der Rechtshilfe gestützt auf das Ergebnis konkreter Vollzugs- massnahmen gesamthaft zu beurteilen (FÉRAUD, a.a.O., S. 663). Der Nach- teil dieser Rechtsmittelordnung liegt auf der Hand: Der Betroffene muss Vollzugsmassnahmen hinnehmen, obwohl sich möglicherweise später er- weist, dass die Rechtshilfe zu verweigern ist (FÉRAUD, a.a.O., S. 663). Dies wurde vom Gesetzgeber in Kauf genommen, welcher das Interesse an der Beschleunigung des Rechtshilfeverfahrens über den Schutz der Parteirech- te gestellt hat (RUDOLF WYSS, Die Revision der Gesetzgebung über die in- ternationale Rechtshilfe in Strafsachen, SJZ 93 (1997) Nr. 3 S. 33 bis 43, S. 35).</w:t>
      </w:r>
    </w:p>
    <w:p>
      <w:r>
        <w:rPr>
          <w:b/>
        </w:rPr>
        <w:t>E. 2.2</w:t>
      </w:r>
    </w:p>
    <w:p>
      <w:r>
        <w:t>Die Rechtsmittelordnung von Art. 80e IRSG gilt abschliessend für alle An- ordnungen der ausführenden Behörden in Rechtshilfeverfahren. Darunter fallen auch Entscheide des Entsiegelungsrichters in Rechtshilfeverfahren. Nach der Rechtsprechung bildet ein solches Entsiegelungsverfahren Teil des Rechtshilfeverfahrens. Der Entsiegelungsentscheid dient der Ausfüh- rung des Rechtshilfeersuchens und gilt als Verfügung der mit der Ausfüh- rung betrauten Rechtshilfebehörde (BGE 126 II 495 E. 3).</w:t>
      </w:r>
    </w:p>
    <w:p>
      <w:r>
        <w:t>Nach der konstanten Praxis handelt es sich beim Entsiegelungsentscheid in einem Rechtshilfeverfahren um eine Zwischenverfügung im Sinne von Art. 80e Abs. 2 IRSG (s. BGE 138 IV 40 E. 2.3.1; 126 II 495 E. 3). Nach der Rechtsprechung stellt der Entscheid über die Entsiegelung von Papieren grundsätzlich eine nicht selbständig anfechtbare Zwischenverfügung im Rechtshilfeverfahren dar, welche zusammen mit der Schlussverfügung an-</w:t>
      </w:r>
    </w:p>
    <w:p>
      <w:r>
        <w:t>- 7 -</w:t>
      </w:r>
    </w:p>
    <w:p>
      <w:r>
        <w:t>gefochten werden kann (s. Art. 80e Abs. 2 lit. a und b IRSG e contrario; BGE 127 II 151 E. 4c/bb; 126 II 495 E. 5e/bb-dd S. 503 ff.).</w:t>
      </w:r>
    </w:p>
    <w:p>
      <w:r>
        <w:t>Der Entscheid, mit welchem die ausführende Behörde im Rechtshilfever- fahren bereits den Antrag auf Siegelung ablehnt, stellt ebenfalls eine Zwi- schenverfügung im Sinne von Art. 80e Abs. 2 IRSG dar. Eine solche Zwi- schenverfügung stellt analog der Rechtsprechung im Zusammenhang mit dem Entsiegelungsentscheid grundsätzlich auch eine nicht selbständig an- fechtbare Zwischenverfügung im Rechtshilfeverfahren dar, welche zusam- men mit der Schlussverfügung angefochten werden kann (s. BGE 127 II 151 E. 4c/bb; Entscheide des Bundesstrafgerichts RR.2014.264 vom 14. Oktober 2014; RR.2013.159 vom 18. Juni 2013).</w:t>
      </w:r>
    </w:p>
    <w:p>
      <w:r>
        <w:rPr>
          <w:b/>
        </w:rPr>
        <w:t>E. 2.3</w:t>
      </w:r>
    </w:p>
    <w:p>
      <w:r>
        <w:t>An dieser Stelle ist jedoch auf folgende Vorschriften im Zusammenhang mit der Siegelung und Entsiegelung im Rechtshilfeverfahren hinzuweisen. Ge- mäss Art. 9 Satz 1 IRSG richtet sich bei der Ausführung von Rechtshilfeer- suchen der Schutz des Geheimbereichs nach den Bestimmungen über das Zeugnisverweigerungsrecht. Nach Art. 9 Satz 2 IRSG gelten für die Durch- suchung von Aufzeichnungen und die Siegelung die Artikel 246 - 248 StPO sinngemäss.</w:t>
      </w:r>
    </w:p>
    <w:p>
      <w:r>
        <w:t>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Der An- trag auf Siegelung ist in unmittelbarem zeitlichem Zusammenhang mit der Sicherstellung der Aufzeichnungen oder Gegenstände zu stellen (Urteile des Bundesgerichts 1B_516/2012, E. 2.3; 1B_322/2013, E. 2.1, je mit zahl- reichen Hinweisen auf die Literatur; s. auch ANDREAS KELLER, Kommentar zur Schweizerischen Strafprozessordnung, Donatsch/Hansjakob/Lieber [Hrsg.], 2. Aufl., Zürich/Basel/Genf 2014, Art. 248 N. 11; OLIVIER THOR- MANN/BEAT BRECHBÜHL, Basler Kommentar Schweizerische Strafprozess- ordnung, Niggli/Heer/Wiprächtiger [Hrsg.], 2. Aufl., Basel 2014, Art. 248 N. 11). Stellt die Strafbehörde nicht innert 20 Tagen ein Entsiegelungsge- such, so werden die versiegelten Aufzeichnungen und Gegenstände der berechtigten Person zurückgegeben (Art. 248 Abs. 2). Stellt sie ein Entsie- gelungsgesuch, so entscheidet darüber innerhalb eines Monats endgültig: a) im Vorverfahren das Zwangsmassnahmengericht; b) in den anderen Fäl- len das Gericht, bei dem der Fall hängig ist (Abs. 3).</w:t>
      </w:r>
    </w:p>
    <w:p>
      <w:r>
        <w:t>- 8 -</w:t>
      </w:r>
    </w:p>
    <w:p>
      <w:r>
        <w:t>Im Strafverfahren stellt die Siegelung eine Sofortmassnahme dar, mit wel- cher der Inhaber die Kenntnisnahme und Verwendung von Aufzeichnungen einstweilen verhindern kann (Botschaft zur Vereinheitlichung des Strafpro- zessrechts vom 21. Dezember 2005 [BBl 2006 II 1085 ff., S. 1239]). Ange- sichts des provisorischen Charakters der Siegelung genügt die Glaubhaft- machung der in der StPO vorgesehenen Siegelungsgründe (BBl 2006 II 1239). Nach der Rechtsprechung des Bundesgerichts (s. Urteil 1B_464/2012 vom 7. März 2013, E. 3) kann eine Verweigerung des vor- sorglichen Rechtsschutzes nur in Ausnahmefällen zulässig sein, wenn be- reits vor dem materiellen Entscheid der Beschwerdeinstanz und vor dem allfälligen richterlichen Entsiegelungsentscheid liquide erstellt ist, dass schutzwürdige Geheimnisinteressen (oder andere Entsiegelungshindernis- se) offensichtlich fehlen. Wenn der betroffene Inhaber von sichergestellten Aufzeichnungen Geheimnisschutzrechte anruft, hat nach der oben darge- legten gesetzlichen Regelung grundsätzlich das Zwangsmassnahmenge- richt (auf entsprechendes Entsiegelungsgesuch der Staatsanwaltschaft hin) über das Vorliegen schutzwürdiger Geheimnisinteressen zu entscheiden. Eine Siegelung ist anzuordnen, wenn "nach Angaben" der betroffenen In- haber Geheimnisschutzinteressen bzw. Entsiegelungshindernisse beste- hen (Art. 248 Abs. 1 StPO). Ob solche Hindernisse bestehen (und dem Strafverfolgungsinteresse vorgehen) oder nicht, hat im Vorverfahren das Zwangsmassnahmengericht zu entscheiden, nicht die Staatsanwaltschaft oder die Verfahrensleitung der kantonalen Beschwerdeinstanz (Art. 248 Abs. 3 lit. a StPO). Ausnahmen können nur in liquiden Fällen in Frage kommen, etwa wenn das Siegelungsbegehren offensichtlich unbegründet bzw. rechtsmissbräuchlich erhoben erscheint und ein förmliches Entsiege- lungsverfahren vor dem Zwangsmassnahmengericht geradezu einem Pro- zessleerlauf gleichkäme (Urteil 1B_464/2012 vom 7. März 2013, E. 3; in diesem Sinne auch KELLER, a.a.O., Art. 248 N. 9; ähnlich THORMANN/ BRECHBÜHL, a.a.O., Art. 248 N. 10, mit zahlreichen Hinweisen auf die Leh- re).</w:t>
      </w:r>
    </w:p>
    <w:p>
      <w:r>
        <w:t>Ohne im Einzelnen vorliegend auf die Besonderheiten des Rechtshilfever- fahrens einzugehen, welche bei der sinngemässen Anwendung von Art. 246 – 248 StPO nach entsprechenden Anpassungen rufen (vgl. THOR- MANN/BRECHBÜHL, a.a.O., Art. 248 N. 70 ff.), ist vorliegend festzuhalten, dass mit Blick auf den Zweck der Siegelung und das für die Entsiegelung vorgesehene Verfahren auch im Rechtshilfeverfahren die Weigerung der ausführenden Behörden, dem Siegelungsgesuch zu folgen, nur in liquiden Fällen in Frage kommen kann (s.o.). Von einem solchen Fall ist im Rechts- hilfeverfahren namentlich dann auszugehen, wenn der Antrag auf Siege- lung eindeutig verspätet gestellt wurde oder darin keinerlei Siegelungs-</w:t>
      </w:r>
    </w:p>
    <w:p>
      <w:r>
        <w:t>- 9 -</w:t>
      </w:r>
    </w:p>
    <w:p>
      <w:r>
        <w:t>gründe geltend gemacht wurden, d.h. keine Gründe, welche eine Siegelung überhaupt zu rechtfertigen vermöchten. Werden aber namentlich rechtlich geschützte Geheimhaltungsinteressen vorgebracht, kann diesbezüglich der Siegelungsantrag im Allgemeinen nicht als offensichtlich unbegründet gel- ten. Dies gilt auch dann, wenn die ausführende Behörde zu Recht anneh- men mag, die vorgebrachten Geheimhaltungsinteressen würden in einem allfälligen Entsiegelungsverfahren kein Entsiegelungshindernis darstellen oder der Antragsteller sei zu deren Geltendmachung nicht befugt. Es ist zwar richtig, dass das Bankkundengeheimnis (Art. 47 BankG, SR 952.0) im Strafverfahren gesetzeskonformen Untersuchungsmassnahmen zur Aufklä- rung von Straftaten nicht entgegen gehalten werden kann (Urteil des Bun- desgerichts 1B_567/2012 vom 26. Februar 2013, E. 6) und im Rechtshilfe- verfahren kein Rechtshilfehindernis darstellt (BGE 129 II 462 E. 5.5; 115 Ib 68 E. 4b S. 83 mit Hinweisen). Analog der Situation im Strafverfahren hat nach der gesetzlichen Regelung aber auch im Rechtshilfeverfahren grund- sätzlich der Entsiegelungsrichter (auf entsprechendes Entsiegelungsge- such der ausführenden Behörde hin) über den "Schutz des Geheimbe- reichs" zu entscheiden und nicht die ausführende Behörde selber.</w:t>
      </w:r>
    </w:p>
    <w:p>
      <w:r>
        <w:t>Immerhin sei auf den folgenden Unterschied im Rechtsschutz zwischen Straf- und Rechtshilfeverfahren hingewiesen. Währenddem die Strafverfol- gungsbehörde im Strafverfahren ohne Siegelung die fraglichen Aufzeich- nungen grundsätzlich durchsuchen kann, erhält die ausländische Strafver- folgungsbehörde auch ohne Siegelung noch keinen Einblick in die fragli- chen Aufzeichnungen. Schliesslich kann der Entscheid betreffend Verwei- gerung der Siegelung zusammen mit der Schlussverfügung angefochten werden (BGE 127 II 151 E. 4c/bb). Dem ist allerdings beizufügen, dass die ausführende Behörde im Rahmen der der Schlussverfügung vorausgehen- den Triage gehalten ist, der Herausgabe entgegenstehende Geheimnisse (s. Art. 264 Abs. 1 lit. a bis c StPO) zu wahren.</w:t>
      </w:r>
    </w:p>
    <w:p>
      <w:r>
        <w:rPr>
          <w:b/>
        </w:rPr>
        <w:t>E. 2.4</w:t>
      </w:r>
    </w:p>
    <w:p>
      <w:r>
        <w:t>Mit der angefochtenen Verfügung wies die Beschwerdegegnerin als aus- führende Behörde im Rechtshilfeverfahren das Siegelungsgesuch der Be- schwerdeführerin ab. Dieser Entscheid stellt entsprechend dem oben Dar- gelegten eine Zwischenverfügung im Sinne von Art. 80e Abs. 2 IRSG dar, welche grundsätzlich nicht selbständig anfechtbar ist. Auf die vorliegende Beschwerde ist demgemäss nicht einzutreten.</w:t>
      </w:r>
    </w:p>
    <w:p>
      <w:r>
        <w:t>Das Gesuch der Beschwerdeführerin um Erteilung der aufschiebenden Wirkung der Beschwerde wird mit dem vorliegenden Entscheid hinfällig und ist als gegenstandslos abzuschreiben.</w:t>
      </w:r>
    </w:p>
    <w:p>
      <w:r>
        <w:t>- 10 -</w:t>
      </w:r>
    </w:p>
    <w:p>
      <w:r>
        <w:rPr>
          <w:b/>
        </w:rPr>
        <w:t>E. 2.5</w:t>
      </w:r>
    </w:p>
    <w:p>
      <w:r>
        <w:t>Festzuhalten bleibt, dass vorliegend die Beschwerdeführerin rechtlich ge- schützte Geheimhaltungsinteressen geltend machte (act. 1.3; s. supra lit. E), weshalb nicht von einem liquiden Fall im unter Ziff. 2.3 erläuterten Sinne auszugehen ist. Der Umstand, dass diese nicht sie sondern Dritte betreffen, vermag daran nichts zu ändern. Im Hinblick auf die von der Be- schwerdegegnerin angegebene Begründung ihrer Zwischenverfügung (s. supra lit. F) ist daher auf Folgendes hinzuweisen: Die eingeschränkte Anfechtbarkeit von Zwischenverfügung im Rechtshilfeverfahren, welche dem Gebot der raschen Erledigung des Rechtshilfeersuchens gemäss Art. 17a IRSG und der Prozessökonomie Rechnung trägt (s. supra Ziff. 2.1), darf von der ausführenden Behörde allerdings nicht als Einladung missverstanden werden, in Umgehung des Entsiegelungsverfahrens die Verfahrensrechte des Betroffenen systematisch zu verletzen (im Zusam- menhang mit der Heilung des rechtlichen Gehörs der Betroffenen s. BGE 124 II 132 E. 2d S. 139; Urteile des Bundesgerichts 1C_127/2012 vom 29. Februar 2012, E. 2.2; 1C_560/2011 vom 20. Dezember 2011, E. 2.2; ROBERT ZIMMERMANN, La coopération judiciaire internationale en matière pénale, 4. Aufl. 2014, S. 478). Dass die Beschwerdegegnerin dies tun soll, kann allein aufgrund des vorliegenden Falles jedoch nicht ange- nommen werden, weshalb weitergehende Ausführungen in diesem Zu- sammenhang konkret unterbleiben können.</w:t>
      </w:r>
    </w:p>
    <w:p>
      <w:r>
        <w:rPr>
          <w:b/>
        </w:rPr>
        <w:t>E. 3</w:t>
      </w:r>
    </w:p>
    <w:p>
      <w:r>
        <w:t>Bei diesem Ausgang des Verfahrens wird die Beschwerdeführerin kosten- pflichtig (Art. 63 Abs. 1 VwVG i.V.m. Art. 39 Abs. 2 lit. b StBOG). Für die 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3'000.-- festzusetzen und der Beschwerdeführerin aufzu- erlegen, unter Anrechnung des geleisteten Kostenvorschusses in gleicher Höhe (Art. 63 Abs. 4bis VwVG; Art. 5 und 8 Abs. 3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