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RR.2014.264 vom 14. Oktober 2014</w:t>
      </w:r>
    </w:p>
    <w:p>
      <w:r>
        <w:t>Bundesstrafgericht, 2014-10-14, DE</w:t>
      </w:r>
    </w:p>
    <w:p>
      <w:r>
        <w:rPr>
          <w:b/>
        </w:rPr>
        <w:t xml:space="preserve">Quelle: </w:t>
      </w:r>
      <w:r>
        <w:t>https://mcp.opencaselaw.ch/entscheid/bstger_RR.2014.264</w:t>
      </w:r>
    </w:p>
    <w:p>
      <w:r>
        <w:t>FR: TPF RR.2014.264 du 14 octobre 2014</w:t>
      </w:r>
    </w:p>
    <w:p>
      <w:r>
        <w:t>IT: TPF RR.2014.264 del 14 ottobre 2014</w:t>
      </w:r>
    </w:p>
    <w:p>
      <w:pPr>
        <w:pStyle w:val="Heading2"/>
      </w:pPr>
      <w:r>
        <w:t>Regeste</w:t>
      </w:r>
    </w:p>
    <w:p>
      <w:r>
        <w:t>Internationale Rechtshilfe in Strafsachen an Deutschland. Beschwerde gegen Verfügung betreffend Siegelungsgesuch (Art. 80e Abs. 2 IRSG; Art. 9 IRSG i.V.m Art. 248 StPO).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März 2014 auf das deutsche Rechtshilfeersuchen eintrat (act. 2.3.4) und mit Hausdurchsuchungsbefehl vom gleichen Tag die Durchsuchung der fraglichen Räumlichkeiten anordnete (act. 2.3.3); die Zuger Polizei am</w:t>
      </w:r>
    </w:p>
    <w:p>
      <w:r>
        <w:rPr>
          <w:b/>
        </w:rPr>
        <w:t>E. 20</w:t>
      </w:r>
    </w:p>
    <w:p>
      <w:r>
        <w:t>März 2014 die Hausdurchsuchung in Abwesenheit des Inhabers der zu durchsuchenden Räume durchführte (act. 2.3.6); anlässlich dieser Haus- durchsuchung diverse Unterlagen und Gegenstände sichergestellt wurden (act. 2.3.6 f.);</w:t>
      </w:r>
    </w:p>
    <w:p>
      <w:r>
        <w:t>- mit Schreiben vom 22. März 2014, vorab übermittelt per Fax, Rechtsanwalt Alp Göçmen der Staatsanwaltschaft das Mandat von B. anzeigte und um Mitteilung/Information betreffend die Hausdurchsuchung und Beschlag- nahme sowie um Akteneinsicht ersuchte (act. 2.3.7); mit Antwortschreiben vom 24. März 2014 die Staatsanwaltschaft Rechtsanwalt Göçmen die Rechtshilfeakten zustellte (act. 2.3.8);</w:t>
      </w:r>
    </w:p>
    <w:p>
      <w:r>
        <w:t>- mit Fax-Mitteilung vom 26. März 2014 Rechtsanwalt Göçmen als Rechts- vertreter von B. ein Gesuch um umfassende Siegelung aller in den Büro- räumlichkeiten der A. GmbH sichergestellten Unterlagen und Gegenstände stellte (act. 2.3.12);</w:t>
      </w:r>
    </w:p>
    <w:p>
      <w:r>
        <w:t>- aus diversen Gründen die Staatsanwaltschaft erst mit Verfügung vom 5. August 2014 formell feststellte, dass der am 26. März 2014 gestellte Siegelungsantrag verspätet gestellt wurde (act. 2.3.17); sie in der Verfü- gung die Zuführung der anlässlich der Hausdurchsuchung sichergestellten Aufzeichnungen und Gegenstände "ihrer weiteren strafprozessualen Ver- wendung" anordnete (act. 2.3.17);</w:t>
      </w:r>
    </w:p>
    <w:p>
      <w:r>
        <w:t>- gegen diese Verfügung vom 5. August 2014 entsprechend der Rechtsmit- telbelehrung Rechtsanwalt Göçmen im Namen der A. GmbH Beschwerde</w:t>
      </w:r>
    </w:p>
    <w:p>
      <w:r>
        <w:t>- 3 -</w:t>
      </w:r>
    </w:p>
    <w:p>
      <w:r>
        <w:t>bei der I. Beschwerdeabteilung des Obergerichts des Kantons Zug erhob (act. 1);</w:t>
      </w:r>
    </w:p>
    <w:p>
      <w:r>
        <w:t>- mit Präsidialverfügung des Abteilungspräsidenten der vorgenannten Be- schwerdeabteilung vom 23. September 2014 auf die Beschwerde nicht ein- getreten wurde und die Akten zuständigkeitshalber an die Beschwerde- kammer des Bundesstrafgerichts weitergeleitet wurden (act. 2.4);</w:t>
      </w:r>
    </w:p>
    <w:p>
      <w:r>
        <w:t>- zunächst festzuhalten ist, dass den Akten eine schriftliche Vollmachtertei- lung von B. (für sich), aber nicht der A. GmbH zu entnehmen ist (s. act. 2.3.7);</w:t>
      </w:r>
    </w:p>
    <w:p>
      <w:r>
        <w:t>- die Verfügung der ausführenden kantonalen Behörde oder der ausführen- den Bundesbehörde, mit der das Rechtshilfeverfahren abgeschlossen wird, zusammen mit den vorangehenden Zwischenverfügungen der Beschwerde an die Beschwerdekammer des Bundesstrafgerichts unterliegt (Art. 80e Abs. 1 IRSG; Art. 37 Abs. 2 lit. a StBOG; Art. 19 Abs. 1 BStGerOG);</w:t>
      </w:r>
    </w:p>
    <w:p>
      <w:r>
        <w:t>- gemäss Art. 80e Abs. 2 IRSG der Schlussverfügung vorangehende Zwi- schenverfügungen selbständig angefochten werden können, sofern sie ei- nen unmittelbaren und nicht wieder gutzumachenden Nachteil bewirken:</w:t>
      </w:r>
    </w:p>
    <w:p>
      <w:r>
        <w:t>a. durch die Beschlagnahme von Vermögenswerten und Wertgegenstän-</w:t>
      </w:r>
    </w:p>
    <w:p>
      <w:r>
        <w:t>den; oder</w:t>
      </w:r>
    </w:p>
    <w:p>
      <w:r>
        <w:t>b. durch die Anwesenheit von Personen, die am ausländischen Prozess</w:t>
      </w:r>
    </w:p>
    <w:p>
      <w:r>
        <w:t>beteiligt sind;</w:t>
      </w:r>
    </w:p>
    <w:p>
      <w:r>
        <w:t>- nach der bundesgerichtlichen Auslegung die Aufzählung der selbständig anfechtbaren Zwischenverfügungen in lit. a und b von Art. 80e Abs. 2 IRSG grundsätzlich abschliessend ist (s. BGE 126 II 495):</w:t>
      </w:r>
    </w:p>
    <w:p>
      <w:r>
        <w:t>- die Rechtsmittelordnung von Art. 80e IRSG abschliessend für alle Anord- nungen der ausführenden Behörden in Rechtshilfeverfahren gilt; darunter auch Entscheide des Entsiegelungsrichters in Rechtshilfeverfahren fallen;</w:t>
      </w:r>
    </w:p>
    <w:p>
      <w:r>
        <w:t>- nach der konstanten Praxis es sich beim Entsiegelungsentscheid in einem Rechtshilfeverfahren um eine Zwischenverfügung im Sinne von Art. 80e Abs. 2 IRSG handelt (s. BGE 138 IV 40 E. 2.3.1; 126 II 495 E. 3);</w:t>
      </w:r>
    </w:p>
    <w:p>
      <w:r>
        <w:t>- nach der Rechtsprechung der Entscheid über die Entsiegelung von Papie- ren grundsätzlich eine nicht selbständig anfechtbare Zwischenverfügung im Rechtshilfeverfahren darstellt, welche zusammen mit der Schlussverfügung</w:t>
      </w:r>
    </w:p>
    <w:p>
      <w:r>
        <w:t>- 4 -</w:t>
      </w:r>
    </w:p>
    <w:p>
      <w:r>
        <w:t>angefochten werden kann (s. Art. 80e Abs. 2 lit. a und b IRSG e contrario; BGE 127 II 151 E. 4c/bb S. 156; 126 II 495 E. 5e/bb-dd S. 503 ff.);</w:t>
      </w:r>
    </w:p>
    <w:p>
      <w:r>
        <w:t>- der Entscheid, mit welchem die ausführende Behörde im Rechtshilfeverfah- ren den Antrag auf Siegelung ablehnt, ebenfalls eine Zwischenverfügung im Sinne von Art. 80e Abs. 2 IRSG darstellt;</w:t>
      </w:r>
    </w:p>
    <w:p>
      <w:r>
        <w:t>- eine solche Zwischenverfügung analog der Rechtsprechung im Zusam- menhang mit Entsiegelungsentscheiden (s.o.) grundsätzlich ebenfalls eine nicht selbständig anfechtbare Zwischenverfügung im Rechtshilfeverfahren darstellt, welche zusammen mit der Schlussverfügung angefochten werden kann;</w:t>
      </w:r>
    </w:p>
    <w:p>
      <w:r>
        <w:t>- die Beschwerdeführerin in ihrer Beschwerde nicht darlegt, inwiefern vorlie- gend eine Ausnahme von der restriktiven gesetzlichen Regelung in Art. 80e Abs. 2 lit. a und b IRSG zulässig sein soll (s. act. 1);</w:t>
      </w:r>
    </w:p>
    <w:p>
      <w:r>
        <w:t>- in ihrer Beschwerde die Beschwerdeführerin im Übrigen auch nicht geltend macht, die angefochtene Verfügung bewirke einen unmittelbaren und nicht wieder gutzumachenden Nachteil im Sinne von Art. 80e Abs. 2 IRSG (s. act. 1);</w:t>
      </w:r>
    </w:p>
    <w:p>
      <w:r>
        <w:t>- demnach auf die vorliegende Beschwerde bereits aus diesen Gründen ins- gesamt nicht einzutreten ist;</w:t>
      </w:r>
    </w:p>
    <w:p>
      <w:r>
        <w:t>- das Gesuch der Beschwerdeführerin um Erteilung der aufschiebenden Wir- kung/Anordnung vorsorglicher Massnahmen (act. 1 S. 2) mit dem vorlie- genden Entscheid hinfällig wird und als gegenstandslos geworden abzu- schreiben ist;</w:t>
      </w:r>
    </w:p>
    <w:p>
      <w:r>
        <w:t>- bei diesem Ausgang des Verfahrens die Beschwerdeführerin kostenpflich- tig wird (Art. 63 Abs. 1 VwVG i.V.m. Art. 39 Abs. 2 lit. b StBOG); für die Be- rechnung der Gerichtsgebühr gemäss Art. 63 Abs. 5 VwVG das Reglement des Bundesstrafgerichts vom 31. August 2010 über die Kosten, Gebühren und Entschädigungen in Bundesstrafverfahren (SR 173.713.162) zur An- wendung gelangt; die Gerichtsgebühr vorliegend auf Fr. 1'000.-- anzuset- zen ist, unter Anrechnung des entsprechenden Betrages aus dem geleiste- ten Kostenvorschuss in der Höhe von Fr. 3'000.--; die Bundesstrafgerichts- kasse anzuweisen ist, der Beschwerdeführerin den Restbetrag in der Höhe von Fr. 2'000.-- zurückzuerstatten.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