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RR.2014.262 vom 23. März 2015</w:t>
      </w:r>
    </w:p>
    <w:p>
      <w:r>
        <w:t>Bundesstrafgericht, 2015-03-23, FR</w:t>
      </w:r>
    </w:p>
    <w:p>
      <w:r>
        <w:rPr>
          <w:b/>
        </w:rPr>
        <w:t xml:space="preserve">Quelle: </w:t>
      </w:r>
      <w:r>
        <w:t>https://mcp.opencaselaw.ch/entscheid/bstger_RR.2014.262</w:t>
      </w:r>
    </w:p>
    <w:p>
      <w:r>
        <w:t>FR: TPF RR.2014.262 du 23 mars 2015</w:t>
      </w:r>
    </w:p>
    <w:p>
      <w:r>
        <w:t>IT: TPF RR.2014.262 del 23 marzo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En</w:t>
      </w:r>
    </w:p>
    <w:p>
      <w:r>
        <w:t>- 5 -</w:t>
      </w:r>
    </w:p>
    <w:p>
      <w:r>
        <w:t>application de ces principes, A. est admis à s'opposer à la transmission des documents bancaires relatifs aux relations n° 2, 3, 4 et 5 ouvertes auprès de la banque G., et n° 6 et 7 ouvertes auprès de la banque F.</w:t>
      </w:r>
    </w:p>
    <w:p>
      <w:r>
        <w:rPr>
          <w:b/>
        </w:rPr>
        <w:t>E. 1.4</w:t>
      </w:r>
    </w:p>
    <w:p>
      <w:r>
        <w:t>Le délai de recours contre l'ordonnance de clôture est de 30 jours dès la communication écrite de celle-ci (art. 80k EIMP). Déposé à un bureau de poste suisse le 25 septembre 2014, le recours est intervenu en temps utile (act. 1).</w:t>
      </w:r>
    </w:p>
    <w:p>
      <w:r>
        <w:rPr>
          <w:b/>
        </w:rPr>
        <w:t>E. 1.5</w:t>
      </w:r>
    </w:p>
    <w:p>
      <w:r>
        <w:t>Le recours étant recevable, il y a lieu d'entrer en matière.</w:t>
      </w:r>
    </w:p>
    <w:p>
      <w:r>
        <w:rPr>
          <w:b/>
        </w:rPr>
        <w:t>E. 2</w:t>
      </w:r>
    </w:p>
    <w:p>
      <w:r>
        <w:t>Le recourant fait valoir que la demande d'entraide française serait irrecevable sous l'angle de l'art. 3 al. 3 EIMP, étant donné qu'elle se fonderait, entre autres, sur des présumés actes de nature fiscale. Dans la décision querellée, le MP-GE conclurait également que l'état de fait de la demande correspondrait en droit suisse notamment à de l'escroquerie fiscale (act. 1).</w:t>
      </w:r>
    </w:p>
    <w:p>
      <w:r>
        <w:rPr>
          <w:b/>
        </w:rPr>
        <w:t>E. 2.1</w:t>
      </w:r>
    </w:p>
    <w:p>
      <w:r>
        <w:t>Aux termes de l'art. 3 al. 3 EIMP, une demande d'entraide est irrecevable si la procédure étrangère vise un acte qui paraît tendre à diminuer les recettes fiscales. L'entraide peut en revanche être accordée pour la répression d'une escroquerie fiscale (let. a). Cette limitation n'est désormais valable qu'en matière d'impôts directs et non pour la TVA ou les taxes douanières (v. art. 50 CAAS).</w:t>
      </w:r>
    </w:p>
    <w:p>
      <w:r>
        <w:rPr>
          <w:b/>
        </w:rPr>
        <w:t>E. 2.2</w:t>
      </w:r>
    </w:p>
    <w:p>
      <w:r>
        <w:t>En l'occurrence, il ressort de la commission rogatoire que les autorités françaises enquêtent sur les agissements commis notamment par des membres de la famille A. et B. Il est reproché à B., en tant que président de la société D., d'avoir détourné des fonds de cette société par le biais d'un système de surfacturation, ainsi que d'avoir récupéré ces fonds à son propre avantage ou à celui de tiers. Ces actes correspondent prima facie en droit suisse aux infractions de gestion déloyale et d'abus de confiance au sens des art. 158 et 138 du Code pénal suisse (CP; RS 311.0). La méthode utilisée pour recouvrer ces montants, notamment au moyen de comptes de sociétés off-shore ou par l'encaissement de chèques remis à l'étranger, est par ailleurs propre à entraver l'identification desdites valeurs patrimoniales, ce qui rend ces faits, au égard du principe de la double punissabilité, qualifiables également de blanchiment au sens de l'art. 305bis CP. Cet examen ressort de la décision d'entrée en matière émise par le MP-GE le 26 mars 2014 (cf. supra consid. D.; dossier MP-GE).</w:t>
      </w:r>
    </w:p>
    <w:p>
      <w:r>
        <w:t>- 6 -</w:t>
      </w:r>
    </w:p>
    <w:p>
      <w:r>
        <w:t>Comme l'indique le recourant dans son recours, l'autorité a notamment identifié un virement en faveur de A. d'EUR 166'000.-- de la part de la société E. Elle a également établi que A. aurait encaissé un chèque d'EUR 698'000.- - provenant aussi de la société E. Cette société de sous-traitance, impliquée dans l'enquête française, aurait perçu une partie des montants détournés. L'autorité requérante suspecte dès lors que les sommes reçues par A. pourraient provenir de la surfacturation au préjudice de la société D. Contrairement à ce qui est indiqué dans la décision de clôture, il n'y a en revanche pas d'indices permettant de conclure que l'autorité requérante poursuivrait des infractions fiscales, de sorte que l'application de l'art. 3 al. 3 EIMP doit être exclue en l'espèce. A toutes fins utiles, il y a lieu de rappeler que, dans l'hypothèse où une procédure fiscale, en relation avec la présente procédure devait avoir lieu en France, l'autorité d'exécution a pris le soin de réserver le principe de la spécialité lors de la transmission des pièces bancaires concernées (act. 1.2, p. 5), ce qui paraît propre à prévenir toute utilisation abusive des renseignements transmis, et ne nécessite pas de rappel plus explicite. En effet, la réserve de la spécialité empêche l'autorité requérante d'utiliser les moyens de preuve recueillis en Suisse pour la poursuite d'infractions pour lesquelles la Suisse n'accorde pas l'entraide, en particulier pour la répression de pures infractions fiscales.</w:t>
      </w:r>
    </w:p>
    <w:p>
      <w:r>
        <w:t>Au vu de ce qui précède, ce grief doit être rejeté.</w:t>
      </w:r>
    </w:p>
    <w:p>
      <w:r>
        <w:rPr>
          <w:b/>
        </w:rPr>
        <w:t>E. 3</w:t>
      </w:r>
    </w:p>
    <w:p>
      <w:r>
        <w:t>Dans son mémoire, le recourant s'en prend à la mesure de saisie des avoirs déposés sur ses compte. Ce grief n'est pas pertinent vu que le blocage frappant ses avoirs a été levé intégralement en cours de procédure, suite à un accord intervenu entre les prévenus à la procédure française et l'autorité requérante (act. 13). Le recours est partant devenu sans objet, en tant qu'il est dirigé contre la saisie.</w:t>
      </w:r>
    </w:p>
    <w:p>
      <w:r>
        <w:rPr>
          <w:b/>
        </w:rPr>
        <w:t>E. 4</w:t>
      </w:r>
    </w:p>
    <w:p>
      <w:r>
        <w:t>Les considérants qui précédent conduisent au rejet du recours.</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 recourant supportera ainsi les frais du présent arrêt fixés à</w:t>
      </w:r>
    </w:p>
    <w:p>
      <w:r>
        <w:t>- 7 -</w:t>
      </w:r>
    </w:p>
    <w:p>
      <w:r>
        <w:t>CHF 4'000.-- (art. 73 al. 2 LOAP et art. 8 al. 3 du règlement du Tribunal pénal fédéral sur les frais, émoluments, dépens et indemnités de la procédure pénale fédérale [RFPPF; RS 173.713.162 ] et art. 63 al. 5 PA). Le recourant ayant versé un total de CHF 7'000.-- à titre d'avance de frais (act. 3), l'émolument du présent arrêt est dès lors entièrement couvert par celle-ci. Le solde de CHF 3'000.-- lui est restitué.</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