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RR.2014.255 vom 7. Oktober 2014</w:t>
      </w:r>
    </w:p>
    <w:p>
      <w:r>
        <w:t>Bundesstrafgericht, 2014-10-07, DE</w:t>
      </w:r>
    </w:p>
    <w:p>
      <w:r>
        <w:rPr>
          <w:b/>
        </w:rPr>
        <w:t xml:space="preserve">Quelle: </w:t>
      </w:r>
      <w:r>
        <w:t>https://mcp.opencaselaw.ch/entscheid/bstger_RR.2014.255</w:t>
      </w:r>
    </w:p>
    <w:p>
      <w:r>
        <w:t>FR: TPF RR.2014.255 du 7 octobre 2014</w:t>
      </w:r>
    </w:p>
    <w:p>
      <w:r>
        <w:t>IT: TPF RR.2014.255 del 7 ottobre 2014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die Rechtshilfe zwischen Deutschland und der Schweiz sind in erster Linie das Europäische Übereinkommen über die Rechtshilfe in Strafsachen vom 20. April 1959 (EUeR; SR 0.351.1), dem beide Staaten beigetreten sind, der zwischen ihnen abgeschlossene Zusatzvertrag vom 13. November 1969 (ZV-D/EUeR; SR 0.351.913.61), sowie die Bestim- mungen der Art. 48 ff. des Übereinkommens vom 19. Juni 1990 zur Durch- führung des Übereinkommens von Schengen vom 14. Juni 1985 (Schen- gener Durchführungsübereinkommen, SDÜ; ABl. L 239 vom 22. September 2000, S. 19-62) massgebend.</w:t>
      </w:r>
    </w:p>
    <w:p>
      <w:r>
        <w:rPr>
          <w:b/>
        </w:rPr>
        <w:t>E. 1.2</w:t>
      </w:r>
    </w:p>
    <w:p>
      <w:r>
        <w:t>Soweit diese Staatsverträge bestimmte Fragen weder ausdrücklich noch stillschweigend regeln, bzw. das schweizerische Landesrecht geringere An- forderungen an die Rechtshilfe stellt (sog. Günstigkeitsprinzip; BGE 137 IV 33 E. 2.2.2; 135 IV 212 E. 2.3; ZIMMERMANN, a.a.O., N. 229), ist das Bun- desgesetz vom 20. März 1981 über internationale Rechtshilfe in Strafsa- chen (IRSG; SR 351.1) und die dazugehörige Verordnung vom 24. Februar 1982 (IRSV; SR 351.11) anwendbar (Art. 1 Abs. 1 IRSG; BGE 136 IV 82 E. 3.1; 130 II 337 E. 1). Vorbehalten bleibt die Wahrung der Menschenrechte (BGE 135 IV 212 E. 2.3; 123 II 595 E. 7c; ZIMMERMANN, a.a.O., N. 211 ff., 223 ff., 680 ff.).</w:t>
      </w:r>
    </w:p>
    <w:p>
      <w:r>
        <w:t>- 3 -</w:t>
      </w:r>
    </w:p>
    <w:p>
      <w:r>
        <w:rPr>
          <w:b/>
        </w:rPr>
        <w:t>E. 2.1</w:t>
      </w:r>
    </w:p>
    <w:p>
      <w:r>
        <w:t>Nach Art. 63 Abs. 4 VwVG erhebt die Beschwerdeinstanz vom Beschwer- deführer einen Kostenvorschuss in der Höhe der mutmasslichen Verfah- renskosten. Zu dessen Leistung ist dem Beschwerdeführer eine angemes- sene Frist anzusetzen unter Androhung des Nichteintretens. Eine Nachfrist bei unbenutzter Zahlungsfrist kennt das VwVG nicht (Urteil des Bundesge- richts 2C_699/2012 vom 22. Oktober 2012, E. 3.1). Die Frist für die Zah- lung eines Vorschusses ist gewahrt, wenn der Betrag rechtzeitig zu Guns- ten der Behörde der Schweizerischen Post übergeben oder einem Post- oder Bankkonto in der Schweiz belastet worden ist (Art. 21 Abs. 3 VwVG i.V.m. Art. 39 Abs. 2 lit. b StBOG [SR 173.71]; Urteil des Bundesge- richts 2C_1096/2013 vom 19. Juli 2014, E. 2/3.3).</w:t>
      </w:r>
    </w:p>
    <w:p>
      <w:r>
        <w:rPr>
          <w:b/>
        </w:rPr>
        <w:t>E. 2.2</w:t>
      </w:r>
    </w:p>
    <w:p>
      <w:r>
        <w:t>Dem Beschwerdeführer wurde mit Schreiben vom 11. September 2014 Frist bis 22. September 2014 angesetzt, um den Kostenvorschuss zu leis- ten. Bei Säumnis werde auf die Beschwerde nicht eingetreten (act. 4). Bis heute ist kein Kostenvorschuss eingegangen. Auf die Beschwerde ist daher androhungsgemäss nicht einzutreten.</w:t>
      </w:r>
    </w:p>
    <w:p>
      <w:r>
        <w:rPr>
          <w:b/>
        </w:rPr>
        <w:t>E. 3</w:t>
      </w:r>
    </w:p>
    <w:p>
      <w:r>
        <w:t>Bei diesem Ausgang des Verfahrens wird der Beschwerdeführer kosten- pflichtig (Art. 63 Abs. 1 VwVG i.V.m. Art. 12 Abs. 1 IRSG, Art. 39 Abs. 2 lit. b StBOG und Art. 37 Abs. 2 lit. a StBOG). Für die Berechnung der Ge- richtsgebühren gelangt das Reglement des Bundesstrafgerichts vom 31. August 2010 über die Kosten, Gebühren und Entschädigungen in Bun- desstrafverfahren (BStKR; SR 173.713.162) zur Anwendung (Art. 65 Abs. 5 VwVG i.V.m. Art. 53 Abs. 2 lit. a StBOG, Art. 73 Abs. 1 lit. a und b StBOG). Es rechtfertigt sich vorliegend, in Anwendung von Art. 73 Abs. 2 StBOG sowie der Art. 5 und 8 Abs. 3 BStKR, die Gebühr auf Fr. 300.-- festzusetzen.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