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RR.2014.253 vom 20. Oktober 2014</w:t>
      </w:r>
    </w:p>
    <w:p>
      <w:r>
        <w:t>Bundesstrafgericht, 2014-10-20, DE</w:t>
      </w:r>
    </w:p>
    <w:p>
      <w:r>
        <w:rPr>
          <w:b/>
        </w:rPr>
        <w:t xml:space="preserve">Quelle: </w:t>
      </w:r>
      <w:r>
        <w:t>https://mcp.opencaselaw.ch/entscheid/bstger_RR.2014.253</w:t>
      </w:r>
    </w:p>
    <w:p>
      <w:r>
        <w:t>FR: TPF RR.2014.253 du 20 octobre 2014</w:t>
      </w:r>
    </w:p>
    <w:p>
      <w:r>
        <w:t>IT: TPF RR.2014.253 del 20 ottobre 2014</w:t>
      </w:r>
    </w:p>
    <w:p>
      <w:pPr>
        <w:pStyle w:val="Heading2"/>
      </w:pPr>
      <w:r>
        <w:t>Regeste</w:t>
      </w:r>
    </w:p>
    <w:p>
      <w:r>
        <w:t>Internationale Rechtshilfe in Strafsachen an Italien. Beweismittelbeschlagnahme (Art. 63 Abs. 2 lit. b IRSG). Rechtsverweigerung/Rechtsverzögerung (Art. 46a VwVG).</w:t>
      </w:r>
    </w:p>
    <w:p>
      <w:pPr>
        <w:pStyle w:val="Heading2"/>
      </w:pPr>
      <w:r>
        <w:t>Erwägungen</w:t>
      </w:r>
    </w:p>
    <w:p>
      <w:r>
        <w:rPr>
          <w:b/>
        </w:rPr>
        <w:t>E. 1.1</w:t>
      </w:r>
    </w:p>
    <w:p>
      <w:r>
        <w:t>Für die Rechtshilfe zwischen Italien und der Schweiz sind in erster Linie das Europäische Übereinkommen über die Rechtshilfe in Strafsachen vom 20. April 1959 (EUeR; SR 0.351.1) sowie der zwischen ihnen abgeschlossene Zusatzvertrag vom 13. November 1969 (ZV-D/EUeR; SR 0.351.913.61) massgebend.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w:t>
      </w:r>
    </w:p>
    <w:p>
      <w:r>
        <w:rPr>
          <w:b/>
        </w:rPr>
        <w:t>E. 1.2</w:t>
      </w:r>
    </w:p>
    <w:p>
      <w:r>
        <w:t>Soweit das Staatsvertragsrecht bestimmte Fragen nicht abschliessend regelt, gelangen das Bundesgesetz über internationale Rechtshilfe in Strafsachen vom 20. März 1981 (IRSG; SR 351.1) und die dazugehörende Verordnung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Hinweisen). Vorbehalten bleibt die Wahrung der Menschenrechte (BGE 135 IV 212 E. 2.3; 123 II 595 E. 7c).</w:t>
      </w:r>
    </w:p>
    <w:p>
      <w:r>
        <w:rPr>
          <w:b/>
        </w:rPr>
        <w:t>E. 1.3</w:t>
      </w:r>
    </w:p>
    <w:p>
      <w:r>
        <w:t>Die Bestimmungen der StPO gelangen analog zur Anwendung, wenn das IRSG direkt darauf verweist (HEIMGARTNER, Kommentar zur Schweizerischen Strafprozessordnung, 2. Aufl., Zürich 2014, Art. 54 N. 4). Für die BA, als ausführende Behörde, gilt subsidiär zum IRSG die StPO auch hinsichtlich der Modalitäten der übrigen akzessorischen Rechtshilfemassnahmen gemäss Art. 63 ff. IRSG (vgl. Art. 12 Abs. 1 IRSG und Art. 54 StPO; HEIMGARTNER, a.a.O., Art. 54 N. 5; KELLER, Praxis der Rechtshilfe in Strafsachen – ausgewählte formell- und materiellrechtliche Fragestellungen, in: Breitenmoser/Ehrenzeller [Hrsg.], Aktuelle Fragen der internationalen Amts- und Rechtshilfe, St. Gallen 2009, S. 64 f.).</w:t>
      </w:r>
    </w:p>
    <w:p>
      <w:r>
        <w:rPr>
          <w:b/>
        </w:rPr>
        <w:t>E. 1.4</w:t>
      </w:r>
    </w:p>
    <w:p>
      <w:r>
        <w:t>Auf das Beschwerdeverfahren vor dem Bundesstrafgericht in internationalen Rechtshilfeangelegenheiten gelangt subsidiär zu den einschlägigen Rechtshilfeerlassen das VwVG zur Anwendung (Art. 37 Abs. 2 lit. a i.V.m. Art. 39 Abs. 2 lit. b StBOG; vgl. auch Art. 12 Abs. 1 IRSG).</w:t>
      </w:r>
    </w:p>
    <w:p>
      <w:r>
        <w:t>- 5 -</w:t>
      </w:r>
    </w:p>
    <w:p>
      <w:r>
        <w:rPr>
          <w:b/>
        </w:rPr>
        <w:t>E. 2.1</w:t>
      </w:r>
    </w:p>
    <w:p>
      <w:r>
        <w:t>Nach der Vorprüfung i.S.v. Art. 80 Abs. 1 IRSG erlässt die ausführende Behörde eine summarisch begründete Eintretensverfügung und ordnet die zulässige Rechtshilfehandlung an. Erachtet die ausführende Behörde das Ersuchen als ganz oder teilweise erledigt, so erlässt sie eine Schlussverfügung (Art. 80d IRSG). Dieser Schlussverfügung vorangehende Zwischenverfügungen können bei der Beschwerdekammer des Bundesstrafgerichts selbständig angefochten werden, sofern sie durch die Beschlagnahme von Vermögenswerten und Wertgegenständen oder durch die Anwesenheit von am ausländischen Prozess beteiligten Personen einen unmittelbaren und nicht wieder gutzumachenden Nachteil bewirken (Art. 80e Abs. 2 IRSG).</w:t>
      </w:r>
    </w:p>
    <w:p>
      <w:r>
        <w:rPr>
          <w:b/>
        </w:rPr>
        <w:t>E. 2.2</w:t>
      </w:r>
    </w:p>
    <w:p>
      <w:r>
        <w:t>Die Beschwerdegegnerin bezeichnete die Verfügung vom 25. August 2014 als "Durchsuchungs- und Beschlagnahmebefehl Art. 241 ff. StPO" und ordnete damit eine Hausdurchsuchung am Wohnort von A. in Z. (Schweiz) an. Als Rechtsmittel wurde die Beschwerde nach Art. 393 ff. StPO an die Beschwerdekammer des Bundesstrafgerichts angegeben (act. 1.2), obwohl für den prozessualen Rechtsschutz gegen Rechtshilfemassnahmen nicht die StPO, sondern das IRSG massgeblich ist (Urteil des Bundesgerichts 1B_563/2011 vom 16. Januar 2012, E. 2.1). Entsprechend erweist sich die Rechtsmittelbelehrung der Verfügung vom 25. August 2014 als unzutreffend.</w:t>
      </w:r>
    </w:p>
    <w:p>
      <w:r>
        <w:rPr>
          <w:b/>
        </w:rPr>
        <w:t>E. 2.3</w:t>
      </w:r>
    </w:p>
    <w:p>
      <w:r>
        <w:t>Gegen das unrechtmässige Verweigern oder Verzögern einer Verfügung kann - wie vorliegend - gestützt auf Art. 46a VwVG Beschwerde geführt werden (siehe zuletzt Entscheid des Bundesstrafgerichts RR.2013.268 vom 27. März 2014, E. 1.3).</w:t>
      </w:r>
    </w:p>
    <w:p>
      <w:r>
        <w:rPr>
          <w:b/>
        </w:rPr>
        <w:t>E. 2.4</w:t>
      </w:r>
    </w:p>
    <w:p>
      <w:r>
        <w:t>Das Beschwerdeverfahren betreffend die elektronischen Geräte ist durch die Rückgabe derselben (siehe lit. G.) gegenstandslos geworden und ist entsprechend abzuschreiben.</w:t>
      </w:r>
    </w:p>
    <w:p>
      <w:r>
        <w:t>Nach konstanter Praxis gelangt im Beschwerdeverfahren vor dem Bundesstrafgericht für den Entscheid über die Kosten- und Entschädigungsfolgen bei Gegenstandslosigkeit Art. 72 des Bundesge- setzes vom 4. Dezember 1947 über den Bundeszivilprozess (BZP; SR 273) sinngemäss zur Anwendung (siehe zuletzt Entscheid des Bundesstraf- gerichts RR.2013.229 vom 3. Juli 2014, E. 3). Gemäss dieser Bestimmung entscheidet das Gericht mit summarischer Begründung über die Prozesskosten aufgrund der Sachlage vor Eintritt des Erledigungsgrundes.</w:t>
      </w:r>
    </w:p>
    <w:p>
      <w:r>
        <w:t>- 6 -</w:t>
      </w:r>
    </w:p>
    <w:p>
      <w:r>
        <w:t>RA Speck ist bereits zehn Tage nach Sicherstellung der zur Diskussion stehenden elektronischen Geräte an dieses Gericht gelangt und hat deren Rückgabe nach erfolgter Spiegelung verlangt. Der Umstand, dass die BA die elektronischen Geräte nicht innerhalb von 10 Tagen ausgewertet hat und nicht vorhersagen konnte, wann genau mit einer Rückgabe der Geräte zu rechnen ist, vermag keine Rechtsverzögerung/Rechtsverweigerung zu begründen. Demnach wäre die Beschwerde betreffend die elektronischen Geräte abgewiesen worden, weswegen die diesbezüglichen Kosten den Beschwerdeführern aufzuerlegen sind.</w:t>
      </w:r>
    </w:p>
    <w:p>
      <w:r>
        <w:rPr>
          <w:b/>
        </w:rPr>
        <w:t>E. 2.5</w:t>
      </w:r>
    </w:p>
    <w:p>
      <w:r>
        <w:t>Das Beschwerdeverfahren ist im Übrigen zufolge Rückzugs (sieh lit. H.) der Beschwerde als erledigt abzuschreiben, wobei der Beschwerdeführer, der seine Beschwerde zurückzieht, grundsätzlich als unterliegende Partei zu gelten und folglich gemäss Art. 63 Abs. 1 VwVG i.V.m. Art. 39 Abs. 2 lit. b und Art. 37 Abs. 2 lit. a StBOG die Gerichtskosten zu tragen hat (siehe zuletzt Entscheid des Bundesstrafgerichts RR.2014.232 vom 19. Septem- ber 2014).</w:t>
      </w:r>
    </w:p>
    <w:p>
      <w:r>
        <w:rPr>
          <w:b/>
        </w:rPr>
        <w:t>E. 2.6</w:t>
      </w:r>
    </w:p>
    <w:p>
      <w:r>
        <w:t>Für die Berechnung der Gerichtsgebühren gelangt das Reglement vom 31. August 2010 des Bundesstrafgerichts über die Kosten, Gebühren und Entschädigungen in Bundesstrafverfahren (BStKR; SR 173.713.162) zur Anwendung (Art. 63 Abs. 5 VwVG i.V.m. Art. 53 Abs. 2 lit. a StBOG). Unter Berücksichtigung aller Umstände ist die Gerichtsgebühr vorliegend auf Fr. 1'000.-- anzusetzen und den Beschwerdeführern unter solidarischer Haftbarkeit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