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RR.2014.242 vom 23. Oktober 2014</w:t>
      </w:r>
    </w:p>
    <w:p>
      <w:r>
        <w:t>Bundesstrafgericht, 2014-10-23, IT</w:t>
      </w:r>
    </w:p>
    <w:p>
      <w:r>
        <w:rPr>
          <w:b/>
        </w:rPr>
        <w:t xml:space="preserve">Quelle: </w:t>
      </w:r>
      <w:r>
        <w:t>https://mcp.opencaselaw.ch/entscheid/bstger_RR.2014.242</w:t>
      </w:r>
    </w:p>
    <w:p>
      <w:r>
        <w:t>FR: TPF RR.2014.242 du 23 octobre 2014</w:t>
      </w:r>
    </w:p>
    <w:p>
      <w:r>
        <w:t>IT: TPF RR.2014.242 del 23 ottobre 2014</w:t>
      </w:r>
    </w:p>
    <w:p>
      <w:pPr>
        <w:pStyle w:val="Heading2"/>
      </w:pPr>
      <w:r>
        <w:t>Regeste</w:t>
      </w:r>
    </w:p>
    <w:p>
      <w:r>
        <w:t>Assistenza giudiziaria internazionale in materia penale all'Italia/Consegna di mezzi di prova (art. 74 AIMP): proporzionalità.</w:t>
      </w:r>
    </w:p>
    <w:p>
      <w:pPr>
        <w:pStyle w:val="Heading2"/>
      </w:pPr>
      <w:r>
        <w:t>Erwägungen</w:t>
      </w:r>
    </w:p>
    <w:p>
      <w:r>
        <w:rPr>
          <w:b/>
        </w:rPr>
        <w:t>E. 1.1</w:t>
      </w:r>
    </w:p>
    <w:p>
      <w:r>
        <w:t>In virtù dell'art. 37 cpv. 2 lett. a della legge federale sull'organizzazione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 pea, L 327/15-17, del 5 dicembre 2008), dagli art. 48 e segg. della Conven- zione di applicazione dell'Accordo di Schengen del 14 giugno 1985 (CAS; te- sto non pubblicato nella RS ma consultabile nel fascicolo "Assistenza e estra- dizione" edito dalla Cancelleria federale, Berna 2014). Di rilievo nella fattispe- cie è anche la Convenzione sul riciclaggio, la ricerca, il sequestro e la confisca dei proventi di reato, conclusa a Strasburgo l’8 novembre 1990, entrata in vi- gore il 1° settembre 1993 per la Svizzera ed il 1° maggio 1994 per l’Italia (CRic; RS. 0.311.53). Alle questioni che il prevalente diritto internazionale con- tenuto in detti trattati non regola espressamente o implicitamente, come pure quando il diritto nazionale sia più favorevole all'assistenza rispetto a quello pattizio (cosiddetto principio di favore), si applicano la legge federale sull'assi- stenza internazionale in materia penale del 20 marzo 1981 (AIMP; RS 351.1), unitamente alla relativa ordinanza (OAIMP; RS 351.11; v. art. 1 cpv. 1 AIMP, art. I n. 2 Accordo italo-svizzero; DTF 137 IV 33 consid. 2.2.2; 136 IV 82 con- sid. 3.1; 135 IV 212 consid. 2.3; 123 II 134 consid. 1a; 122 II 140 consid. 2). Il principio di favore vale anche nell'applicazione delle pertinenti norme di diritto internazionale (v. art. 48 n. 2 CAS, 39 n. 3 CRic e art. I n. 2 Accordo italo- svizzero). È fatto salvo il rispetto dei diritti fondamentali (DTF 135 IV 212 con- sid. 2.3; 123 II 595 consid. 7c).</w:t>
      </w:r>
    </w:p>
    <w:p>
      <w:r>
        <w:rPr>
          <w:b/>
        </w:rPr>
        <w:t>E. 1.3</w:t>
      </w:r>
    </w:p>
    <w:p>
      <w:r>
        <w:t>Interposto tempestivamente contro la sopraccitata decisione di chiusura dell’autorità cantonale d’esecuzione, il ricorso è ricevibile sotto il profilo degli art. 25 cpv. 1, 80e cpv. 1 e 80k AIMP. La legittimazione del ricorrente, titolare del conto oggetto della criticata misura rogatoriale, è pacifica (v. art. 80h lett. b</w:t>
      </w:r>
    </w:p>
    <w:p>
      <w:r>
        <w:t>- 5 -</w:t>
      </w:r>
    </w:p>
    <w:p>
      <w:r>
        <w:t>AIMP e art. 9a lett. a OAIMP; DTF 137 IV 134 consid. 5.2.1; 118 Ib 547 con- sid. 1d; TPF 2007 79 consid. 1.6).</w:t>
      </w:r>
    </w:p>
    <w:p>
      <w:r>
        <w:rPr>
          <w:b/>
        </w:rPr>
        <w:t>E. 2</w:t>
      </w:r>
    </w:p>
    <w:p>
      <w:r>
        <w:t>Il ricorrente fa valere la violazione del principio di proporzionalità. Secondo lui il MPC, ordinando i provvedimenti di perquisizione e sequestro, avrebbe agito "ultra petita" in quanto essi esulerebbero dalla missione rogatoriale assegna- tagli. Nello specifico, egli sostiene che l'autorità rogante italiana avrebbe chie- sto al MPC la consegna di documenti contenuti nell'incarto del procedimento interno pendente presso il MPC, ma in nessun caso essa avrebbe richiesto di procedere con l'assunzione di prove su territorio svizzero, con l'esecuzione di provvedimenti coercitivi presso terzi quali perquisizioni e sequestri. In sostan- za, l'autorità di esecuzione avrebbe ecceduto l'oggetto della domanda di assi- stenza giudiziaria, violando così l'AIMP e il principio della proporzionalità.</w:t>
      </w:r>
    </w:p>
    <w:p>
      <w:r>
        <w:rPr>
          <w:b/>
        </w:rPr>
        <w:t>E. 2.1</w:t>
      </w:r>
    </w:p>
    <w:p>
      <w:r>
        <w:t>Il MPC contesta innanzitutto la tempistica della censura qui presentata. Esso ritiene che il ricorrente, sebbene interpellato il 26 giugno 2014, ossia prima della decisione di chiusura qui impugnata, non abbia mosso nessuna critica ri- spetto all'intenzione del MPC di trasmettere all'autorità rogante la documenta- zione concernente il suo conto, contravvenendo al suo obbligo di cooperazio- ne. Orbene, occorre rilevare che tale obbligo di collaborazione concerne in realtà la procedura di cernita di documentazione frutto di sequestro e non può essere invocato dal MPC per obbligare il ricorrente a formulare in maniera an- ticipata censure che in realtà possono essere presentate unicamente al mo- mento della decisione di chiusura, come è il caso per il qui contestato seque- stro. L'obiezione del MPC va dunque disattesa su questo punto.</w:t>
      </w:r>
    </w:p>
    <w:p>
      <w:r>
        <w:rPr>
          <w:b/>
        </w:rPr>
        <w:t>E. 2.2.1</w:t>
      </w:r>
    </w:p>
    <w:p>
      <w:r>
        <w:t>In generale, il principio secondo il quale l'autorità rogata non deve agire "ultra petita", desumibile da quello della proporzionalità, vieta all'autorità richiesta di andare oltre i provvedimenti postulati dall'autorità richiedente (cosiddetto "Übermassverbot", DTF 116 Ib 96 consid. 5b; 115 Ib 186 consid. 4; 115 Ib 373 consid. 7). La susseguente giurisprudenza ha però sostanzialmente attenuato la portata di questo principio, ritenendo che l'autorità richiesta può interpretare in maniera estensiva la domanda qualora sia accertato che, su questa base, tutte le condizioni per concedere l'assistenza sono adempiute; tale modo di procedere può evitare in effetti la presentazione di un'eventuale richiesta complementare (DTF 121 II 241 consid. 3; sentenza del Tribunale federale 1A.258/2006 del 16 febbraio 2007, consid. 2.3). Su questa base, possono quindi essere trasmesse delle informazioni e dei documenti non espressa- mente menzionati nella domanda di assistenza (TPF 2009 161 consid. 5.2; sentenze del Tribunale penale federale RR.2010.39 del 28 aprile 2010, con- sid. 5.1, e RR.2010.8 del 16 aprile 2010, consid. 2.2). Incombe quindi alla per- sona toccata dalla misura di dimostrare in maniera chiara e precisa perché i</w:t>
      </w:r>
    </w:p>
    <w:p>
      <w:r>
        <w:t>- 6 -</w:t>
      </w:r>
    </w:p>
    <w:p>
      <w:r>
        <w:t>documenti e le informazioni in questione vanno oltre alla missione rogatoriale o non presentano nessun interesse per la procedura straniera (ATF 122 II 367 consid. 2c).</w:t>
      </w:r>
    </w:p>
    <w:p>
      <w:r>
        <w:rPr>
          <w:b/>
        </w:rPr>
        <w:t>E. 2.2.2</w:t>
      </w:r>
    </w:p>
    <w:p>
      <w:r>
        <w:t>L'autorità rogante, tramite complemento rogatoriale del 15 settembre 2014, ha espressamente richiesto l'identificazione dell'intestatario e del beneficiario del conto n. 2 presso la Banca UBS SA, Lugano, e l'acquisizione di tutta la relati- va documentazione quale mezzo di prova, relazione di cui essa è venuta a conoscenza analizzando documentazione bancaria già in suo possesso, se- gnatamente quella relativa alla relazione n. 3 presso UBS SA, intestata a Li- mecross Ltd., a Tortola (v. rogatoria complementare del 15 settembre 2014, Rubrica n. 1, in fine, atti MPC). Di conseguenza, lo Stato richiedente, benché non espressamente sollecitato dal MPC, si è pronunciato in maniera chiara su questo punto comunicando il proprio interesse all'acquisizione della documen- tazione concernente il conto del ricorrente.</w:t>
      </w:r>
    </w:p>
    <w:p>
      <w:r>
        <w:rPr>
          <w:b/>
        </w:rPr>
        <w:t>E. 2.3</w:t>
      </w:r>
    </w:p>
    <w:p>
      <w:r>
        <w:t>Nello specifico è opportuno rilevare che, quando le autorità estere chiedono informazioni su conti bancari allo scopo di ricostruire il flusso di fondi di so- spetta origine criminale, la natura stessa di dette inchieste rende verosimile la necessità di acquisire l'integralità della documentazione bancaria. Ciò perché gli inquirenti debbono poter individuare il titolare giuridico ed economico del conto e sapere a quali persone sia pervenuto l'eventuale provento del reato (sentenza del Tribunale penale federale RR.2009.316 del 11.05.2010, consid. 4.3). Per agire in questo modo deve esistere un rapporto di connessità suffi- ciente tra i fatti oggetto dell'inchiesta penale estera e i documenti trasmessi dall'autorità di esecuzione (DTF 129 II 462 consid. 5.3; sentenze del Tribunale federale 1A.189/2006 del 7 febbraio 2007, consid. 3.1; 1A.72/2006 del 13 lu- glio 2006, consid. 3.1). In questo contesto, delle misure possono altresì esse- re prese contro persone non menzionate nella domanda se al momento dell'e- secuzione della stessa è emerso che esse siano implicate nell'affare. Per questo motivo al fine di chiarire determinate transazioni effettuate a partire da un conto, l'autorità di esecuzione, se lo ritiene necessario, può dare informa- zioni concernenti altre persone o altri conti implicati (ROBERT ZIMMERMAN, La coopération judiciaire internationale en matière pénale, 3a ed., Berna 2009, n. 722). È infatti importante che l'autorità estera disponga di tutta la documen- tazione riguardante le relazioni bancarie implicate al fine segnatamente di de- terminare se altri versamenti sospetti possono essere individuati (sentenza del Tribunale penale federale RR.2013.263-265 e RR.2014.7-8 del 7 marzo 2014, consid. 5.3). Si tratta di una maniera di procedere necessaria, se del caso, ad accertare anche l'estraneità degli interessati (DTF 129 II 462 consid. 5.5; sen- tenze del Tribunale federale 1A.182/2006 del 9 agosto 2007, consid. 2.3 e 3.2; 1A.52/2007 del 20 luglio 2007, consid. 2.1.3; 1A.227/2006 del 22 febbraio 2007, consid. 3.2; 1A.195/2005 del 1° settembre 2005 in fine; 1A.79/2005 del 27 aprile 2005, consid. 4.1).</w:t>
      </w:r>
    </w:p>
    <w:p>
      <w:r>
        <w:t>- 7 -</w:t>
      </w:r>
    </w:p>
    <w:p>
      <w:r>
        <w:t>Il principio dell'utilità potenziale, secondo cui la consegna giusta l'art. 74 AIMP è esclusa soltanto per quei mezzi di prova certamente privi di rilevanza per il procedimento penale all'estero (DTF 126 II 258 consid. 9c pag. 264; 122 II 367 consid. 2c; 121 II 241 consid. 3a e b), assume un ruolo cruciale nell'appli- cazione del principio della proporzionalità nell'ambito dell'assistenza in materia penale. Lo scopo di tale cooperazione è proprio quello di favorire la scoperta di fatti, informazioni e mezzi di prova, compresi quelli di cui l'autorità estera non sospetta neppure l'esistenza. Non si tratta soltanto di aiutare lo Stato ri- chiedente a provare i fatti evidenziati dall'inchiesta, ma di svelarne altri, se ne esistono. Ne deriva, per l'autorità d'esecuzione, un dovere di esaustività che giustifica la comunicazione di tutti gli elementi da essa raccolti e potenzial- mente idonei alle indagini estere, al fine di chiarire in tutti i suoi aspetti i mec- canismi delittuosi perseguiti nello Stato rogante (sentenze del Tribunale pena- le federale RR.2010.173 del 13 ottobre 2010, consid. 4.2.4/a, RR.2009.320 del 2 febbraio 2010, consid. 4.1 e RR.2013.202 del 14 novembre 2013 consid. 2.2; ZIMMERMANN, op. cit., n. 722, p. 673 e seg.).</w:t>
      </w:r>
    </w:p>
    <w:p>
      <w:r>
        <w:rPr>
          <w:b/>
        </w:rPr>
        <w:t>E. 2.4</w:t>
      </w:r>
    </w:p>
    <w:p>
      <w:r>
        <w:t>Nella fattispecie, l'utilità potenziale della documentazione di cui l'autorità roga- ta ha disposto la trasmissione è certamente data. Il MPC, al quale l'autorità estera ha formulato una richiesta tendente ad ottenere informazioni sul conto n. 1 e, tramite complemento, all'invio di documenti contenuti nell'incarto del procedimento interno SV.12.0359, ha comunque ritenuto necessario procede- re all'acquisizione e alla trasmissione di tutta la documentazione concernente il conto del ricorrente, ciò dopo aver appurato, grazie alla rogatoria, i legami tra i fatti indagati in Italia ed il conto di Augusto Pretner presso la filiale UBS di Lugano. A buona ragione, visto che i reati per cui è indagato il ricorrente all'e- stero sono di natura patrimoniale e, come esposto in precedenza, la natura stessa dell'inchiesta estera rende verosimile la necessità di acquisire l'integra- lità della documentazione. In più, la descrizione della fattispecie e l'esposizio- ne dei fatti oggetto del procedimento italiano, forniscono spiegazioni chiare, atte ad avvalorare il sospetto che i valori patrimoniali frutto della presunta atti- vità criminale perpetrata all'estero siano stati, in seguito, riciclati in Svizzera. Nello specifico, sulla relazione di pertinenza del ricorrente è stato effettuato un accredito di EUR 2'030'000.-- proveniente dal conto bancario n. 3 presso UBS SA, Lugano, intestato alla società Limecross LTD, Tortola (BVI), a sua volta alimentato dal conto n. 1, il cui avente diritto economico era Azzam Alwash, presidente di Nature Irak e destinatario di fondi finalizzati a opere di interesse pubblico. Tali operazioni meritano sicuramente degli approfondimenti.</w:t>
      </w:r>
    </w:p>
    <w:p>
      <w:r>
        <w:t>La connessione tra la documentazione sequestrata ed i fatti per i quali proce- dono le autorità italiane è quindi innegabile. Spetterà comunque al giudice estero del merito valutare se dalla documentazione sequestrata emerge in concreto una connessione penalmente rilevante. Non è infatti competenza dell'autorità rogata, rispettivamente del giudice adito su ricorso in ambito di</w:t>
      </w:r>
    </w:p>
    <w:p>
      <w:r>
        <w:t>- 8 -</w:t>
      </w:r>
    </w:p>
    <w:p>
      <w:r>
        <w:t>assistenza, sostituirsi al giudice penale straniero e pronunciarsi sulla sostanza delle ipotesi di reato formulate dagli inquirenti (v. DTF 132 II 81 consid. 2.1; 122 II 373 consid. 1c pag. 375; 112 Ib 215 consid. 5b; 109 Ib 60 consid. 5a pag. 63 e rinvii).</w:t>
      </w:r>
    </w:p>
    <w:p>
      <w:r>
        <w:t>Visto quanto precede, è possibile in ogni caso affermare che le misure prese grazie alle decisioni in esame, sono certamente utili alla procedura estera in quanto permettono la ricostruzione complessiva delle presunte distrazioni perpetrate a danno dello Stato italiano. Non è pertanto ravvisabile nessuna violazione del principio di proporzionalità.</w:t>
      </w:r>
    </w:p>
    <w:p>
      <w:r>
        <w:rPr>
          <w:b/>
        </w:rPr>
        <w:t>E. 3</w:t>
      </w:r>
    </w:p>
    <w:p>
      <w:r>
        <w:t>In conclusione, la decisione impugnata è confermata ed il ricorso integralmen- te respinto.</w:t>
      </w:r>
    </w:p>
    <w:p>
      <w:r>
        <w:rPr>
          <w:b/>
        </w:rPr>
        <w:t>E. 4</w:t>
      </w:r>
    </w:p>
    <w:p>
      <w:r>
        <w:t>Le spese seguono la soccombenza (v. art. 63 cpv. 1 della legge federale sulla procedura amministrativa del 20 dicembre 1968 [PA; RS 172.021] richiamato l'art. 39 cpv. 2 lett. b LOAP). La tassa di giustizia è calcolata giusta gli art. 73 cpv. 2 LOAP, 63 cpv. 4 bis lett. b PA, nonché 5 e 8 cpv. 3 lett. b del regola- mento del 31 agosto 2010 sulle spese, gli emolumenti, le ripetibili e le indenni- tà della procedura penale federale (RSPPF; RS 173.713.162), ed è fissata nella fattispecie a fr. 5'000.--; essa è coperta dall'anticipo delle spese già ver- 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