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RR.2014.237 vom 17. Dezember 2014</w:t>
      </w:r>
    </w:p>
    <w:p>
      <w:r>
        <w:t>Bundesstrafgericht, 2014-12-17, DE</w:t>
      </w:r>
    </w:p>
    <w:p>
      <w:r>
        <w:rPr>
          <w:b/>
        </w:rPr>
        <w:t xml:space="preserve">Quelle: </w:t>
      </w:r>
      <w:r>
        <w:t>https://mcp.opencaselaw.ch/entscheid/bstger_RR.2014.237</w:t>
      </w:r>
    </w:p>
    <w:p>
      <w:r>
        <w:t>FR: TPF RR.2014.237 du 17 décembre 2014</w:t>
      </w:r>
    </w:p>
    <w:p>
      <w:r>
        <w:t>IT: TPF RR.2014.237 del 17 dicembre 2014</w:t>
      </w:r>
    </w:p>
    <w:p>
      <w:pPr>
        <w:pStyle w:val="Heading2"/>
      </w:pPr>
      <w:r>
        <w:t>Regeste</w:t>
      </w:r>
    </w:p>
    <w:p>
      <w:r>
        <w:t>Internationale Rechtshilfe in Strafsachen an Deutschland. Beschlagnahme von Vermögenswerten / Kontosperre (Art. 80e Abs. 2 lit. a IRSG). Anwesenheit ausländischer Verfahrensbeteiligter (Art. 80e Abs. 2 lit. b IRSG). Eintretens- und Zwischenverfügung.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t>- 5 -</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IRSG). Der Schlussverfügung vorangehende Zwischenverfügungen können selbständig angefochten werden, sofern sie durch die Beschlag- nahme von Vermögenswerten und Wertgegenständen (Art. 80e Abs. 2 lit. a IRSG) oder durch die Anwesenheit von Personen, die am ausländischen Prozess beteiligt sind (Art. 80e Abs. 1 lit. b IRSG) einen unmittelbaren und nicht wieder gutzumachenden Nachteil bewirken (s. dazu nachfolgend Ziff. 3 und 4). Die Beschwerdefrist gegen die Schlussverfügung beträgt 30 Tage, gegen eine Zwischenverfügung zehn Tage ab der schriftlichen Mitteilung der Ver- fügung (Art. 80k IRSG). Zur Beschwerdeführung ist berechtigt, wer persönlich und direkt von einer Rechtshilfemassnahme betroffen ist und ein schutzwürdiges Interesse an deren Aufhebung oder Änderung hat (Art. 80h lit. b IRSG). Als persönlich und direkt betroffen im Sinne der Art. 21 Abs. 3 und Art. 80h IRSG gilt bei der Erhebung von Kontoinformationen der Kontoinhaber (Art. 9a IRSV; BGE 122 II 130 E. 2b; 118 Ib 547 E. 1d; TPF 2007 79 E. 1.6). Als persön- lich und direkt betroffen im Sinne von Art. 21 Abs. 3 und Art. 80h lit. b IRSG gilt bei der Hausdurchsuchung sodann der jeweilige Eigentümer oder der Mieter, der im Besitz der sichergestellten Unterlagen war (Art. 9a lit. b IRSV; TPF 2007 79 E. 1.6 S. 82; 136 E. 3.1 und 3.3). Die angefochtene Eintretens- und Zwischenverfügung vom 24. Juli 2014 wurde den Beschwerdeführerinnen anlässlich der Hausdurchsuchungen vom 12. August 2014 eröffnet (Verfahrensakten Staatsanwaltschaft, Urk. 29 und 33). Die Beschwerde vom 22. August 2014 wurde damit im Sinne von Art. 80k IRSG fristgerecht eingereicht. Zur Beschwerde gegen die vorstehende Verfügung sind die Beschwerdeführerinnen in den von ihnen angefochtenen Punkten insoweit legitimiert, als sie Inhaberinnen der gesperrten Konten gemäss Art. 80h lit. b IRSG und Art. 9a lit. a IRSV und Eigentümerinnen oder Mieterinnen der durchsuchten Räumlichkeiten ge- mäss Art. 80h lit. b IRSG und Art. 9a lit. b IRSV sind.</w:t>
      </w:r>
    </w:p>
    <w:p>
      <w:r>
        <w:rPr>
          <w:b/>
        </w:rPr>
        <w:t>E. 3.1</w:t>
      </w:r>
    </w:p>
    <w:p>
      <w:r>
        <w:t>Der Beizug ausländischer Ermittlungsbeamter ist in den massgebenden in- ternationalen Vereinbarungen (Art. 4 Satz 2 EUeR; Art. III ZV-D/EUeR) so-</w:t>
      </w:r>
    </w:p>
    <w:p>
      <w:r>
        <w:t>- 6 -</w:t>
      </w:r>
    </w:p>
    <w:p>
      <w:r>
        <w:t>wie in Art. 65a IRSG ausdrücklich vorgesehen. Dieser kann nicht zuletzt der Verhältnismässigkeit bzw. der sachbezogenen Begrenzung der bean- tragten Rechtshilfemassnahmen dienen (vgl. Urteil des Bundesgerichts 1A.259/2005 vom 15. November 2005, E. 1.2).</w:t>
      </w:r>
    </w:p>
    <w:p>
      <w:r>
        <w:t>Gemäss konstanter Rechtsprechung des Bundesgerichts hat die blosse Anwesenheit ausländischer Prozessbeteiligter an einer Rechtshilfehand- lung für den Betroffenen in der Regel noch keinen unmittelbaren und nicht wieder gutzumachenden Nachteil i.S.v. Art. 80e Abs. 2 IRSG zur Folge. Ein solcher Nachteil ist zu bejahen, wenn die Gefahr besteht, dass den auslän- dischen Behörden durch die Teilnahme ihrer Beamten an den Vollzugs- handlungen Tatsachen aus dem Geheimbereich zugänglich gemacht wer- den, bevor über die Gewährung oder den Umfang der Rechtshilfe ent- schieden worden ist (Art. 65a Abs. 3 IRSG; Entscheid des Bundesstrafge- richts RR.2007.6 vom 22. Februar 2007, E. 2.4; Urteile des Bundesgerichts 1A.225/2006 vom 6. März 2007, E. 1.5.1; 1A.215/2006 vom 7. Novem- ber 2006, E. 1.3; 1A.35/2001 vom 21. Mai 2001, E. 1a; BGE 128 II 211 E. 2.1, je m.w.H.). Diese Gefahr ist zu verneinen, wenn die schweizeri- schen Behörden die nach den Umständen geeigneten Vorkehren treffen, um eine vorzeitige Verwendung von Informationen im ausländischen Straf- verfahren zu verhindern (BGE 128 II 211 E. 2.1 S. 216; 127 II 198 E. 2b S. 203 f.; ZIMMERMANN, La coopération judiciare internationale en matière pénale, 3. Aufl., Bern 2009, S. 375 f. N. 409). Geeignete Vorkehren trifft die Vollzugsbehörde u.a. dann, wenn sie die ausländischen Beamten verpflich- tet, allfällige Erkenntnisse bis zum Vorliegen einer rechtskräftigen Schluss- verfügung im ausländischen Verfahren nicht zu verwenden (TPF 2008 116 E. 5.1). Bei Beachtung dieser Grundsätze ist ein unmittelbarer und nicht wieder gutzumachender Nachteil in der Regel zu verneinen (Urteil des Bundesgerichts 1A.225/2006 vom 6. März 2007, E. 1.5.1 [publiziert in Die Praxis 11/2007 Nr. 130]; 1A.228/2003 vom 10. März 2004, E. 3.3.1 mit Hinweisen; TPF 2010 96 E. 2.3; ZIMMERMANN, a.a.O., S. 375 f. N. 409).</w:t>
      </w:r>
    </w:p>
    <w:p>
      <w:r>
        <w:rPr>
          <w:b/>
        </w:rPr>
        <w:t>E. 3.2</w:t>
      </w:r>
    </w:p>
    <w:p>
      <w:r>
        <w:t>Die Beschwerdeführerinnen befürchten, dass die schweizerischen Verfah- rensbestimmungen den ausländischen Prozessbeteiligten total fremd seien und dass diese sich auch nicht an die in solchen Verfahren übliche Ver- schwiegenheit im Verfahren in München halten würden (act. 1 S. 17). Zur Begründung führen sie aus, die ausländischen Prozessbeteiligten hätten mit eigenen Kameras sämtliche Räumlichkeiten inklusive der sich dort be- findenden Unterlagen, Ordner etc. fotografiert, welche sie im Anschluss wieder mit nach Deutschland genommen hätten (act. 1 S. 16). Dies sei um- so stossender, als die Räumlichkeiten auch von einem Treuhandunterneh- men namens I. AG benutzt würden. Die ausländischen Prozessbeteiligten</w:t>
      </w:r>
    </w:p>
    <w:p>
      <w:r>
        <w:t>- 7 -</w:t>
      </w:r>
    </w:p>
    <w:p>
      <w:r>
        <w:t>hätten damit auch die Geheimhaltungsinteressen und –pflichten dieser Treuhandgesellschaft verletzt, da die gemachten Fotos nun quasi durch- wegs die bestehenden Kundenbeziehungen des Treuhandunternehmens dokumentieren würden (act. 1 S. 16).</w:t>
      </w:r>
    </w:p>
    <w:p>
      <w:r>
        <w:rPr>
          <w:b/>
        </w:rPr>
        <w:t>E. 3.3</w:t>
      </w:r>
    </w:p>
    <w:p>
      <w:r>
        <w:t>In Disp. Ziff. 8 der Eintretens- und Zwischenverfügung wurde die Zulassung der Vertreterin der Staatsanwaltschaft München und der beiden Kriminal- hauptkommissare an den durchzuführenden Hausdurchsuchungen samt Einvernahme mit der Auflage erteilt, dass sich diese vor Beginn der Einver- nahmen unterschriftlich verpflichten müssen, die bei den Rechtshilfehand- lungen gewonnenen Erkenntnisse bis zum rechtskräftigen Abschluss des vorliegenden Rechtshilfeverfahrens nicht zu verwenden (act. 1.2 S. 7). Die- se Erklärungen haben alle drei ausländischen Prozessbeteiligten am 11. August 2014 und damit vor Durchführung der Hausdurchsuchung inkl. Einvernahmen unterzeichnet (s. Verfahrensakten Staatsanwaltschaft, Urk. 39).</w:t>
      </w:r>
    </w:p>
    <w:p>
      <w:r>
        <w:rPr>
          <w:b/>
        </w:rPr>
        <w:t>E. 3.4</w:t>
      </w:r>
    </w:p>
    <w:p>
      <w:r>
        <w:t>Die von den deutschen Beamten unterzeichnete Garantieerklärung genügt den vorstehend erläuterten Anforderungen der Rechtsprechung. Nach dem völkerrechtlichen Vertrauensprinzip ist grundsätzlich davon auszugehen, dass der ersuchende Staat bzw. dessen Beamten diese Zusicherung auch beachten werden (Urteile des Bundesgerichts 1A.225/2006 vom</w:t>
      </w:r>
    </w:p>
    <w:p>
      <w:r>
        <w:rPr>
          <w:b/>
        </w:rPr>
        <w:t>E. 3.5</w:t>
      </w:r>
    </w:p>
    <w:p>
      <w:r>
        <w:t>Nach dem Gesagten steht fest, dass die Beschwerdeführerinnen mit ihren Einwendungen gegen die Anwesenheit ausländischer Prozessbeteiligter einen unmittelbaren und nicht wieder gutzumachenden Nachteil im Sinne von Art. 80e Abs. 2 IRSG nicht dargetan haben. Auf die Beschwerde be- züglich Disp. Ziff. 8 der angefochtenen Verfügung ist nach dem Gesagten nicht einzutreten.</w:t>
      </w:r>
    </w:p>
    <w:p>
      <w:r>
        <w:t>4.</w:t>
      </w:r>
    </w:p>
    <w:p>
      <w:r>
        <w:t>4.1 Richtet sich die Beschwerde gegen eine Zwischenverfügung, so muss die beschwerdeführende Person nach der bundesgerichtlichen Rechtspre- chung mit konkreten Angaben glaubhaft machen, inwiefern die rechtshilfe- weise Beschlagnahme von Vermögenswerten zu einem nicht wieder gut-</w:t>
      </w:r>
    </w:p>
    <w:p>
      <w:r>
        <w:t>- 8 -</w:t>
      </w:r>
    </w:p>
    <w:p>
      <w:r>
        <w:t>zumachenden Nachteil führt. In Betracht kommen insbesondere drohende Verletzungen von konkreten vertraglichen Verpflichtungen, unmittelbar be- vorstehende Betreibungsschritte, der drohende Entzug von behördlichen Bewilligungen oder das Entgehen von konkreten Geschäften. Die bloss abstrakte Möglichkeit, dass sich eine Kontosperre negativ auf die Ge- schäftstätigkeit der rechtsuchenden Person auswirken könnte, ist hingegen für die Annahme eines nicht wieder gutzumachenden Nachteils im Sinne von Art. 80e Ziff. 2 lit. a IRSG grundsätzlich nicht ausreichend. Der drohen- de unmittelbare und nicht wieder gutzumachende Nachteil muss glaubhaft gemacht werden; die blosse Behauptung eines solchen Nachteils genügt nicht (zum Ganzen BGE 130 II 329 E. 2 S. 332; 128 II 353 E. 3 S. 354, je m.w.H.; Urteile des Bundesgerichts 1A.81/2006 vom 21. Juli 2006, E. 2 und 1A.183/2006 vom 1. Februar 2007, E. 1.2). 4.2</w:t>
      </w:r>
    </w:p>
    <w:p>
      <w:r>
        <w:t>4.2.1 Die Beschwerdeführerinnen machen gemeinsam geltend, mit der Vermö- genssperre seien sie vom Weiterbetrieb ihres Geschäftes vollumfänglich ausgeschlossen. Ohne Vorankündigung sei ihnen sämtliche Liquidität, wel- che für den ordentlichen Geschäftsbetrieb notwendig sei, entzogen worden (act. 1 S. 19). Sie hätten vertragliche Verpflichtungen, welche sie erfüllen müssten, wenn sie nicht würden riskieren wollen, dass innert Kürze der Geschäftsbetrieb zusammenbreche und in der Folge der Konkurs über sie verfügt würde (act. 1 S. 19). Aufgrund der Vermögenssperre sei es ihnen auch nicht mehr möglich, bereits bestehende Projekte weiter zu betreuen, da die Projektpartner sich aufgrund der Ermittlungen, welche sich indirekt auch gegen die Beschwerdeführerinnen richten würden, von ihnen abwen- den und nicht das Risiko eines Rufschadens tragen wollen würden, wenn sie weiterhin Geschäfte mit den Beschwerdeführerinnen tätigen würden. Entsprechende Androhungen seien bislang telefonisch ausgesprochen, es sei aber zu erwarten, dass bei Fortbestand der Vermögenssperren die schriftlichen Kündigungen eingehen würden (act. 1 S. 21). Die Beschwer- deführerinnen machen geltend, dass sie zur Wahrung ihrer Interessen auf rechtlichen Beistand angewiesen seien und sie bereits eine Rechnung für einen ausreichenden Vorschuss erhalten hätten. Würde den Beschwerde- führerinnen die Bezahlung dieser Kosten verweigert, käme dies letztlich ei- ner Verweigerung des rechtlichen Gehörs gleich (act. 1 S. 21 f.). 4.2.2 Die Beschwerdeführerin 1 führt für sich aus, sie hätte am 10. Au- gust 2014 die zweite Mahnung für die direkte Bundessteuer 2013 über CHF 680'020.-- erhalten, wobei ihr für den Fall der nicht fristgerechten Be- zahlung innert 10 Tagen die Betreibung angedroht worden sei (act. 1 S. 19). Ebenso sei bis zum 10. September 2014 eine Rechnung der Aus- gleichskasse Zug zu begleichen. Im Falle von ausbleibenden Zahlungen für</w:t>
      </w:r>
    </w:p>
    <w:p>
      <w:r>
        <w:t>- 9 -</w:t>
      </w:r>
    </w:p>
    <w:p>
      <w:r>
        <w:t>Sozialversicherungen würden die Verwaltungsräte persönlich haftbar wer- den. Die Beschwerdeführerin 1 habe von verschiedenen Gesellschaften Darlehen erhalten, welche aufgrund der vertraglichen Vereinbarungen je- derzeit unter Einhaltung der gesetzlichen Fristen kündbar seien (act. 1 S. 19). Aufgrund der Hausdurchsuchungen und der damit verbundenen Vermögenssperre hätten die Darlehensgeber bereits angedroht, die Darle- hen in der Höhe von gesamthaft über CHF 4 Mio. zu kündigen (act. 1 S. 19 f.). Die drei Angestellten (u.a. C.) der Beschwerdeführerin 1 müssten ebenfalls für ihre Arbeiten bezahlt werden. Würden die Löhne nicht recht- zeitig bezahlt, so bestünde die Gefahr, dass die Arbeitnehmer die Arbeit niederlegen und damit wiederum das Geschäft der Beschwerdeführerinnen geschädigt werde. Die Beschwerdeführerin 1 nennt den monatlichen Miet- zins für die Büroräumlichkeiten sowie die Parkplätze und weitere Verpflich- tungen (act. 1 S. 20 f.). 4.2.3 In eigener Sache bringt die Beschwerdeführerin 2 vor, sie würde auf ihren Konten treuhänderisch über Vermögen Dritter verfügen, welche von der Vermögenssperre ebenfalls betroffen seien. Es sei offensichtlich, dass die- se Gelder nicht der Sperre unterliegen dürften, da sie weder den Beschul- digten noch der Beschwerdeführerin 2 selbst zuzurechnen seien. Die Be- schwerdeführerin 1 habe sodann Versicherungsprämien und Mietkosten zu bezahlen (act. 1 S. 21). 4.3 Bei der rechtshilfeweise Beschlagnahme von Vermögenswerten können nach der Rechtsprechung, wie einleitend erläutert (s. supra Ziff. 4.1), ins- besondere drohende Verletzungen von konkreten vertraglichen Verpflich- tungen, unmittelbar bevorstehende Betreibungsschritte oder das Entgehen von konkreten Geschäften einen nicht wieder gutzumachenden Nachteil darstellen. Hierfür ist selbstredend wiederum vorauszusetzen, dass die von der Rechtshilfemassnahme betroffene Partei glaubhaft macht, dass sie und die wirtschaftlich Berechtigten über keine weiteren Mittel verfügen, um die vorgenannten Folgen der Beschlagnahme abzuwenden. Nach der Darstel- lung der Beschwerdeführerin 2 würde auf den drei gesperrten Konten das Vermögen Dritter liegen. Es handelt sich dabei konkret um Anlagevermö- gen in der Höhe von gesamthaft CHF 5'103.--. Angaben dazu, wo ihr eige- nes Vermögen liegt, macht sie nicht. Wollte die Beschwerdeführerin 1 im- plizit geltend machen, nicht nur ihr gesamtes liquides, sondern überhaupt ihr gesamtes Vermögen befinde sich auf den beiden gesperrten Konten bei der Bank H. AG in der Schweiz, so hätte sie das Vorliegen dieses Umstan- des im Hinblick auf den geltend gemachten unmittelbaren und nicht wieder gutzumachenden Nachteil glaubhaft zu machen gehabt. Die Beschwerde- führerin 1 hat Bestand und Fälligkeit zumindest einiger Zahlungsverpflich- tungen zwar substantiiert behauptet und hierfür auch Rechnungen vorge-</w:t>
      </w:r>
    </w:p>
    <w:p>
      <w:r>
        <w:t>- 10 -</w:t>
      </w:r>
    </w:p>
    <w:p>
      <w:r>
        <w:t>legt. Demgegenüber begnügt sie sich zur Darstellung ihrer Vermögenssitu- ation mit blossen Behauptungen. Hinweise dafür, dass die beiden Be- schwerdeführerinnen neben den Vermögenswerten auf den gesperrten Kontobeziehungen über keine weiteren Vermögenswerte verfügen, wes- halb sie durch die angefochtene Verfügung einen unmittelbaren und nicht wieder gutzumachenden Nachteil erleiden würden, ergeben sich auch nicht aus den übrigen Akten. Wird die offene Steuerforderung in der Höhe von CHF 680'020.-- dem gesperrten Anlagevermögen der Beschwerdeführe- rin 1 von gesamthaft CHF 217'220.-- gegenübergestellt, besteht vielmehr Grund für die Annahme des Gegenteils. 4.4 Da die Beschwerdeführerinnen im Sinne der vorstehenden Erwägungen den unmittelbaren und nicht wieder gutzumachenden Nachteil nicht glaub- haft dargelegt haben, ist auch auf ihre Beschwerde betreffend die Konto- sperren/Beschlagnahme von Vermögenswerten ebenfalls nicht einzutreten.</w:t>
      </w:r>
    </w:p>
    <w:p>
      <w:r>
        <w:t>5. Bei diesem Ausgang des Verfahrens werden die Beschwerdeführerinnen kostenpflichtig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Unter Berücksichtigung aller Umstände ist die Gebühr vorliegend auf Fr. 5'000.-- festzusetzen und den Beschwerdeführerinnen aufzuerlegen, unter Anrechnung des geleisteten Kostenvorschusses in gleicher Höhe (Art. 63 Abs. 4bis lit. b VwVG; Art. 5 und 8 Abs. 3 BStKR).</w:t>
      </w:r>
    </w:p>
    <w:p>
      <w:r>
        <w:t>- 11 -</w:t>
      </w:r>
    </w:p>
    <w:p>
      <w:r>
        <w:rPr>
          <w:b/>
        </w:rPr>
        <w:t>E. 6</w:t>
      </w:r>
    </w:p>
    <w:p>
      <w:r>
        <w:t>März 2007, E. 1.5.2; 1A.228/2003 vom 10. März 2004, E. 3.3.2). Soweit sich die Beschwerdeführerinnen nicht auf ihre eigenen, sondern auf Inte- ressen Dritter berufen, ist ihnen entgegenzuhalten, dass mangels eines ei- genen schutzwürdigen Interesses auf stellvertretend für einen Dritten und einzig im Interesse Dritter erhobene Beschwerden ohnehin nicht einzutre- ten ist (BGE 128 II 211 E. 2.3 und 2.4 S. 217 ff.; Urteil des Bundesgerichts 1A.110/2002 vom 26. November 2002, E. 1.2; TPF 2007 79 E. 1.6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