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RR.2014.223 vom 26. Februar 2015</w:t>
      </w:r>
    </w:p>
    <w:p>
      <w:r>
        <w:t>Bundesstrafgericht, 2015-02-26, FR</w:t>
      </w:r>
    </w:p>
    <w:p>
      <w:r>
        <w:rPr>
          <w:b/>
        </w:rPr>
        <w:t xml:space="preserve">Quelle: </w:t>
      </w:r>
      <w:r>
        <w:t>https://mcp.opencaselaw.ch/entscheid/bstger_RR.2014.223</w:t>
      </w:r>
    </w:p>
    <w:p>
      <w:r>
        <w:t>FR: TPF RR.2014.223 du 26 février 2015</w:t>
      </w:r>
    </w:p>
    <w:p>
      <w:r>
        <w:t>IT: TPF RR.2014.223 del 26 febbraio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w:t>
      </w:r>
    </w:p>
    <w:p>
      <w:r>
        <w:t>- 4 -</w:t>
      </w:r>
    </w:p>
    <w:p>
      <w:r>
        <w:t>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w:t>
      </w:r>
    </w:p>
    <w:p>
      <w:r>
        <w:rPr>
          <w:b/>
        </w:rPr>
        <w:t>E. 1.5</w:t>
      </w:r>
    </w:p>
    <w:p>
      <w:r>
        <w:t>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w:t>
      </w:r>
    </w:p>
    <w:p>
      <w:r>
        <w:t>- 5 -</w:t>
      </w:r>
    </w:p>
    <w:p>
      <w:r>
        <w:rPr>
          <w:b/>
        </w:rPr>
        <w:t>E. 1.6</w:t>
      </w:r>
    </w:p>
    <w:p>
      <w:r>
        <w:t>Dans le cas présent, les expertises psychiatriques et les rapports médicaux dont la transmission est contestée contiennent des informations sur la situation personnelle et familiale du recourant. Il est ici question de la remise d'informations relevant de la sphère intime, qui n'ont néanmoins pas impliquées une nouvelle mesure de contrainte pour être obtenues et qui ne se rapportent pas à des faits en lien étroit avec la demande d'entraide. Quoiqu'il en soit, la question de savoir si le recourant est habilité à s'opposer à la transmission de ces données sensibles peut en l'occurrence souffrir de demeurer indécise, vu le sort du recours quant au fond.</w:t>
      </w:r>
    </w:p>
    <w:p>
      <w:r>
        <w:rPr>
          <w:b/>
        </w:rPr>
        <w:t>E. 1.7</w:t>
      </w:r>
    </w:p>
    <w:p>
      <w:r>
        <w:t>Il y a lieu d'entrer en matière.</w:t>
      </w:r>
    </w:p>
    <w:p>
      <w:r>
        <w:rPr>
          <w:b/>
        </w:rPr>
        <w:t>E. 2</w:t>
      </w:r>
    </w:p>
    <w:p>
      <w:r>
        <w:t>Par un grief d'ordre formel qu'il convient d'examiner en premier lieu, le recourant invoque une violation de son droit d'être entendu dans la mesure où il n'aurait pas pu participer au tri des pièces (act. 1, p. 11 s.).</w:t>
      </w:r>
    </w:p>
    <w:p>
      <w:r>
        <w:rPr>
          <w:b/>
        </w:rPr>
        <w:t>E. 2.1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2.2</w:t>
      </w:r>
    </w:p>
    <w:p>
      <w:r>
        <w:t>En l'espèce, par écrit du 10 juin 2014 à l'intention de Me Juvet, le MP-GE a informé le recourant des documents qu'il entendait transmettre à l'autorité requérante et lui a octroyé un délai au 30 juin 2014 afin de déposer ses observations (act. 1.22). Le 12 juin 2014, Me Juvet a répondu que le recourant s'opposait à cette mesure d'entraide et a demandé par la même occasion que lui soit transmis une copie des documents en question (act. 1.23). Le MP-GE a rendu l'ordonnance de clôture entreprise le</w:t>
      </w:r>
    </w:p>
    <w:p>
      <w:r>
        <w:t>- 6 -</w:t>
      </w:r>
    </w:p>
    <w:p>
      <w:r>
        <w:t>9 juillet 2014 (v. supra let. E; act. 1.1) et le 14 juillet 2014 Me Juvet a demandé à consulter le dossier de la cause, ce qui lui a été accordé. Me Juvet a ainsi eu accès au dossier le 17 juillet 2014 (in act. 7, p. 2).</w:t>
      </w:r>
    </w:p>
    <w:p>
      <w:r>
        <w:t>Il est fort regrettable que le MP-GE ait omis de donner suite à la requête du recourant tendant à obtenir les documents visés par l'entraide. Néanmoins, il est tout aussi regrettable que le recourant, au vu de l'absence de réaction du MP-GE à sa requête, n'ait pas utilisé son délai au 30 juin 2014 pour réitérer sa demande et compléter sa prise de position sur le tri des pièces. Quoiqu'il en soit, il sied de constater que le recourant a obtenu un accès complet au dossier le 17 juillet 2014, soit avant l'échéance du délai de recours, qu'il a pu faire valoir librement ses arguments devant la Cour de céans et que l'éventuel vice aurait de toute évidence pu être guéri, une violation du droit d'être entendu relative au tri des pièces étant, le cas échéant, réparable en procédure de recours (ZIMMERMAN, La coopération judiciaire internationale en matière pénale, 4e éd., Berne 2014, n° 725, p. 754). Le grief est par conséquent infondé.</w:t>
      </w:r>
    </w:p>
    <w:p>
      <w:r>
        <w:rPr>
          <w:b/>
        </w:rPr>
        <w:t>E. 3</w:t>
      </w:r>
    </w:p>
    <w:p>
      <w:r>
        <w:t>Dans un second moyen, le recourant invoque une violation du principe de la proportionnalité, consacré à l'art. 63 al. 1 EIMP. Il estime en effet que les informations contenues dans les deux expertises psychiatriques, datées respectivement de 1989 et 1995, et trois rapports médicaux, datés de 1996, sont désuètes, ne concernent pas les faits sous enquête en France et par conséquent ne sont pas nécessaires à la procédure menée à l'étranger (act. 1, p. 10).</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w:t>
      </w:r>
    </w:p>
    <w:p>
      <w:r>
        <w:t>- 7 -</w:t>
      </w:r>
    </w:p>
    <w:p>
      <w:r>
        <w:t>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Force est de reconnaître qu'il existe un rapport objectif, respectivement un « lien de connexité » suffisant entre les informations que l'autorité d'exécution entend transmettre à la France et l'enquête qui y est diligentée. L'autorité requérante a ainsi intérêt à pouvoir prendre connaissance de la documentation requise afin d'être informée des antécédents judiciaires du recourant et, vu le types d'infractions qui lui sont reprochées, d'obtenir une vue d'ensemble de son état psychique aux cours des années. Ces informations sont sans conteste utiles à sa procédure.</w:t>
      </w:r>
    </w:p>
    <w:p>
      <w:r>
        <w:rPr>
          <w:b/>
        </w:rPr>
        <w:t>E. 3.2</w:t>
      </w:r>
    </w:p>
    <w:p>
      <w:r>
        <w:t>Au vu de ce qui précède, il y a lieu de constater que l'autorité d'exécution n'a pas violé le principe de proportionnalité en autorisant la remise aux autorités françaises des deux expertises psychiatriques et des trois rap- ports médicaux relatifs au recourant. Il s'ensuit que le grief n'est pas fondé et doit être rejeté.</w:t>
      </w:r>
    </w:p>
    <w:p>
      <w:r>
        <w:rPr>
          <w:b/>
        </w:rPr>
        <w:t>E. 4</w:t>
      </w:r>
    </w:p>
    <w:p>
      <w:r>
        <w:t>Enfin, le recourant reproche au juge français de ne pas avoir fait usage de l'art. 63 al. 2 let. b EIMP, qui permet l'expertise de la personne concernée au titre d'acte d'enquête, en lieu et place de demander la production de pièces selon lui désuètes et inaptes à le renseigner (act. 1, p. 12 s.).</w:t>
      </w:r>
    </w:p>
    <w:p>
      <w:r>
        <w:rPr>
          <w:b/>
        </w:rPr>
        <w:t>E. 4.1</w:t>
      </w:r>
    </w:p>
    <w:p>
      <w:r>
        <w:t>Comme le souligne justement le MP-GE (act. 7, p. 5), il n'appartient ni à l'autorité d'exécution, ni par ailleurs à la Cour de céans, de se substituer, dans le cadre de la procédure d'entraide, au juge du fond de l'Etat requérant (arrêt du Tribunal pénal fédéral RR.2012.237-274+278+279-282 du 9 juillet 2013, consid. 7.5). Il n'y a ainsi pas lieu de remettre en cause le choix du magistrat français d'avoir refusé l'exécution d'une expertise en Suisse et de requérir la remise d'expertises déjà existantes. Ce grief est par conséquent infondé et doit lui aussi être rejeté.</w:t>
      </w:r>
    </w:p>
    <w:p>
      <w:r>
        <w:t>- 8 -</w:t>
      </w:r>
    </w:p>
    <w:p>
      <w:r>
        <w:rPr>
          <w:b/>
        </w:rPr>
        <w:t>E. 5</w:t>
      </w:r>
    </w:p>
    <w:p>
      <w:r>
        <w:t>Les considérants qui précèdent conduisent au rejet du recours dans la mesure de sa recevabilité.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