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RR.2014.197 vom 26. September 2014</w:t>
      </w:r>
    </w:p>
    <w:p>
      <w:r>
        <w:t>Bundesstrafgericht, 2014-09-26, IT</w:t>
      </w:r>
    </w:p>
    <w:p>
      <w:r>
        <w:rPr>
          <w:b/>
        </w:rPr>
        <w:t xml:space="preserve">Quelle: </w:t>
      </w:r>
      <w:r>
        <w:t>https://mcp.opencaselaw.ch/entscheid/bstger_RR.2014.197</w:t>
      </w:r>
    </w:p>
    <w:p>
      <w:r>
        <w:t>FR: TPF RR.2014.197 du 26 septembre 2014</w:t>
      </w:r>
    </w:p>
    <w:p>
      <w:r>
        <w:t>IT: TPF RR.2014.197 del 26 settembre 2014</w:t>
      </w:r>
    </w:p>
    <w:p>
      <w:pPr>
        <w:pStyle w:val="Heading2"/>
      </w:pPr>
      <w:r>
        <w:t>Regeste</w:t>
      </w:r>
    </w:p>
    <w:p>
      <w:r>
        <w:t>Assistenza giudiziaria internazionale in materia penale all'Italia/Consegna di mezzi di prova (art. 74 AIMP) e sequestro (art. 33a OAIMP):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è per contro data unicamente per quanto riguarda la trasmissione all'autorità rogante della documentazione bancaria relativa al conto n. 3, presso la banca E., di cui essa è titolare (v. art. 80h lett. b AIMP e art. 9a lett. a OAIMP; DTF 137 IV 134 consid. 5.2.1; 118 Ib 547 consid. 1d; TPF 2007 79 consid. 1.6).</w:t>
      </w:r>
    </w:p>
    <w:p>
      <w:r>
        <w:rPr>
          <w:b/>
        </w:rPr>
        <w:t>E. 2</w:t>
      </w:r>
    </w:p>
    <w:p>
      <w:r>
        <w:t>La società ricorrente contesta innanzitutto la competenza dell'AFD nell'e- manare la decisione impugnata. A suo dire, nella fattispecie non vi sarebbe alcuna ipotesi di reato doganale o di truffa fiscale. Non si capirebbe del re- sto quale sia il reato perseguito a monte del riciclaggio di denaro, infrazione che avrebbe dovuto semmai condurre alla delega in favore dell'autorità pe-</w:t>
      </w:r>
    </w:p>
    <w:p>
      <w:r>
        <w:t>- 5 -</w:t>
      </w:r>
    </w:p>
    <w:p>
      <w:r>
        <w:t>nale. Essa contesta altresì il potere di firma del funzionario che ha firmato la decisione impugnata.</w:t>
      </w:r>
    </w:p>
    <w:p>
      <w:r>
        <w:rPr>
          <w:b/>
        </w:rPr>
        <w:t>E. 2.1</w:t>
      </w:r>
    </w:p>
    <w:p>
      <w:r>
        <w:t>L'art. 17 cpv. 4 AIMP prevede che l'Ufficio federale può delegare l'attuazio- ne totale o parziale del procedimento all'autorità federale che sarebbe stata 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R. ZIMMERMANN, op. cit., n. 253 pag. 245). In questo senso es- sa non è contemplata fra le decisioni antecedenti alla decisione di chiusura impugnabili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specifi- che competenze dell'AFD in ambito di controllo dei metalli preziosi (v. legge sul controllo dei metalli preziosi, LCMP; RS 941.31).</w:t>
      </w:r>
    </w:p>
    <w:p>
      <w:r>
        <w:rPr>
          <w:b/>
        </w:rPr>
        <w:t>E. 2.2</w:t>
      </w:r>
    </w:p>
    <w:p>
      <w:r>
        <w:t>Per quanto attiene al potere di firma del funzionario che ha sottoscritto la decisione impugnata,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7.7). Fra queste, sotto il capitolo "Strafsachen" figura la "Stellungnahme zu Rechts- und Amtshilfegesuchen in Strafsachen und deren Vollzug" (v. ibidem pag. 20). Detta divisione è altresì competente per la "Behandlung von Beschwerden gegen Untersuchungshandlungen, Stellungnahmen zu Beschwerden ge- gen Zwangsmassnahmen zu Handen des Bundesstrafgerichts" (v. ibidem).</w:t>
      </w:r>
    </w:p>
    <w:p>
      <w:r>
        <w:t>- 6 -</w:t>
      </w:r>
    </w:p>
    <w:p>
      <w:r>
        <w:t>Nella misura in cui la decisione impugnata è stata firmata in concreto dalla signora F., vicedirettrice dell'AFD, nonché capo della divisione principale "Diritto e tributi", la censura in questione è da respingere.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della decisione impugnata.</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w:t>
      </w:r>
    </w:p>
    <w:p>
      <w:r>
        <w:t>- 11 -</w:t>
      </w:r>
    </w:p>
    <w:p>
      <w:r>
        <w:t>tutto stralci di intercettazioni telefoniche concernenti gli indagati. Essa ritie- ne "estremamente sintomatica la circostanza che, al verificarsi di un evento "traumatico" per l'organizzazione, il B. convochi degli incontri con i propri più stretti sodali, ai quali partecipa personalmente, impartendo le nuove li- nee operative, quali il contingentamento dei quantitativi e la definizione di più pesanti quotazioni, come accertato nei due episodi documentati. Quan- to emerso dalle indagini, depone fermamente circa la presenza di un'unica regia da parte del B. a monte dei traffici orditi dai diversi indagati" (v. act. 7.1 pag. 19). Essa aggiunge che "si rende quindi indispensabile accertare attraverso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D. ha di- chiarato che l'oro destinato a B., dopo avere passato la dogana su auto do- tate di doppio fondo, veniva portato (in quantitativi aggirantisi in circa 200 kg a settimana per il solo ramo dell'organizzazione facente a lui riferimento) presso la società J. di Chiasso, che provvedeva al pagamento in contanti del metallo, che poi avrebbe rivenduto in forma ufficiale a grandi fonderie dotate del Good delivery" (v. ibidem). Orbene, ritenuto che B. è l'avente di- ritto economico del conto intestato alla qui reclamante, l'utilità potenziale della documentazione bancaria oggetto della decisione impugnata è evi- dente.</w:t>
      </w:r>
    </w:p>
    <w:p>
      <w:r>
        <w:t>Quanto precede permette di confermare la sufficiente relazione tra la misu- ra d'assistenza richiesta e l'oggetto del procedimento penale estero, spet- tando comunque al giudice estero del merito valutare se dalla documenta- zione sequestrata emerge in concreto una connessione penalmente rile- vante fra i fatti perseguiti in Italia e la relazione bancaria della ricorrente. Vi è quindi da concludere che la domanda di assistenza estera non viola il principio della proporzionalità.</w:t>
      </w:r>
    </w:p>
    <w:p>
      <w:r>
        <w:rPr>
          <w:b/>
        </w:rPr>
        <w:t>E. 6</w:t>
      </w:r>
    </w:p>
    <w:p>
      <w:r>
        <w:t>La ricorrente postula infine la revoca dei sequestri documentali e patrimo- niali.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il sequestro conte-</w:t>
      </w:r>
    </w:p>
    <w:p>
      <w:r>
        <w:t>- 12 -</w:t>
      </w:r>
    </w:p>
    <w:p>
      <w:r>
        <w:t>stato, il quale concerne proprio gli averi in conto sulla relazione di cui va trasmessa la documentazione.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 sid. 3). Il sequestro di tali fondi deve essere mantenuto di principio sino alla notifica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 cessità che la procedura all'estero avanzi (DTF 126 II 462 consid. 5e). La ricorrente non ha peraltro sostanziato nessun pregiudizio economico ca- gionato dal sequestro. Anche da questo punto di vista il blocco in questione non presenta alcun elemento di sproporzionalità. Ne consegue che il se- questro va confermato e la relativa censura respinta.</w:t>
      </w:r>
    </w:p>
    <w:p>
      <w:r>
        <w:rPr>
          <w:b/>
        </w:rPr>
        <w:t>E. 7</w:t>
      </w:r>
    </w:p>
    <w:p>
      <w:r>
        <w:t>Non avvedendosi altre ragioni per rifiutare l'assistenza sollecitata, la deci- sione impugnata va integralmente confermata ed il gravame respinto, nella misura della sua ammissibilità.</w:t>
      </w:r>
    </w:p>
    <w:p>
      <w:r>
        <w:rPr>
          <w:b/>
        </w:rPr>
        <w:t>E. 8</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