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RR.2014.196 vom 26. September 2014</w:t>
      </w:r>
    </w:p>
    <w:p>
      <w:r>
        <w:t>Bundesstrafgericht, 2014-09-26, IT</w:t>
      </w:r>
    </w:p>
    <w:p>
      <w:r>
        <w:rPr>
          <w:b/>
        </w:rPr>
        <w:t xml:space="preserve">Quelle: </w:t>
      </w:r>
      <w:r>
        <w:t>https://mcp.opencaselaw.ch/entscheid/bstger_RR.2014.196</w:t>
      </w:r>
    </w:p>
    <w:p>
      <w:r>
        <w:t>FR: TPF RR.2014.196 du 26 septembre 2014</w:t>
      </w:r>
    </w:p>
    <w:p>
      <w:r>
        <w:t>IT: TPF RR.2014.196 del 26 settembre 2014</w:t>
      </w:r>
    </w:p>
    <w:p>
      <w:pPr>
        <w:pStyle w:val="Heading2"/>
      </w:pPr>
      <w:r>
        <w:t>Regeste</w:t>
      </w:r>
    </w:p>
    <w:p>
      <w:r>
        <w:t>Assistenza giudiziaria internazionale in materia penale all'Italia/Consegna di mezzi di prova (art. 74 AIMP) e sequestro (art. 33a OAIMP): legittimazione ricorsuale; competenza dell'autorità d'esecuzione; presenza di funzionari esteri; doppia punibilità; proporzionalità.</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 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Il ricorso è stato tempestivamente interposto contro sei decisioni di conse- gna di mezzi di prova secondo l’art. 74 AIMP, rese dall’autorità federale di esecuzione. I requisiti di ammissibilità di cui agli art. 80k, così come 80e cpv. 1 in relazione con l’art. 25 AIMP, sono pacificamente dati.</w:t>
      </w:r>
    </w:p>
    <w:p>
      <w:r>
        <w:t>- 5 -</w:t>
      </w:r>
    </w:p>
    <w:p>
      <w:r>
        <w:rPr>
          <w:b/>
        </w:rPr>
        <w:t>E. 1.4.1</w:t>
      </w:r>
    </w:p>
    <w:p>
      <w:r>
        <w:t>La ricevibilità del gravame presuppone tuttavia anche la legittimazione a ri- correre dell'insorgente giusta l’art. 80h AIMP. In base a quest’ultima dispo- 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Più concretamente, nel caso di una richiesta d’informazioni su un conto bancario è considerato personalmente e direttamente toccato il ti- tolare del conto (v. art. 9a lett. a OAIMP; DTF 137 IV 134 consid. 5 e 118 Ib 547 consid. 1d), così come nelle perquisizioni domiciliari questa qualità spetta al proprietario o al locatario (v. art. 9a lett. b OAIMP). In via giuri- sprudenziale è stato altresì precisato che la legittimazione a ricorrere com- pete alla persona direttamente sottoposta a una misura coercitiva (perqui- sizione, sequestro o interrogatorio; DTF 130 II 162 consid. 1.1; 128 II 211 consid. 2.3; 127 II 198 consid. 2d; 126 II 258 consid. 2d; 124 II 180 consid. 1b; TPF 2007 79 consid. 1.6 pag. 82), mentre gli interessati toccati solo in maniera indiretta, come ad esempio il mero avente diritto economico di un conto bancario, non possono impugnare tali provvedimenti (DTF 137 IV 134 consid. 5.2.1 e 122 II 130 consid. 2b e rinvii). Per lo stesso motivo, nel caso di documenti in possesso di terzi, soltanto questi ultimi in quanto loro possessori possono contestare il sequestro degli stessi, anche se i docu- menti in questione concernono un’altra persona contro la quale è pendente un procedimento penale estero (DTF 123 II 161 consid. 1d; 116 Ib 106 consid. 2a; TPF 2007 79 consid. 1.6). Secondo la giurisprudenza, questo vale parimenti nel caso di documentazione bancaria detenuta da un avvo- cato o da una fiduciaria in ragione di un mandato (sentenza del Tribunale federale 1A.293/2004 del 18 marzo 2005, consid. 2.3; sentenza del Tribu- nale penale federale RR.2007.101 del 12 luglio 2007, consid. 2.1). La legit- timazione a impugnare la trasmissione di verbali d'interrogatorio spetta, di massima, unicamente al teste sottoposto direttamente alla misura coerciti- va e solo nella misura in cui è chiamato a fornire informazioni che lo con- cernono personalmente o che si prevale del suo diritto di non testimoniare (DTF 126 II 258 consid. 2d/bb; 122 II 130 consid. 2b; 121 II 459; ROBERT ZIMMERMANN, La coopération judiciaire internationale en matière pénale, 3a ed., Berna 2009, n. 526, pag. 478 e n. 532, pag. 487 e seg.). Un terzo, per contro, non è legittimato a contestare la consegna di un verbale d'audi- zione allo Stato richiedente neppure quando le affermazioni contenutevi lo</w:t>
      </w:r>
    </w:p>
    <w:p>
      <w:r>
        <w:t>- 6 -</w:t>
      </w:r>
    </w:p>
    <w:p>
      <w:r>
        <w:t>tocchino personalmente. È ammessa un'eccezione a questa prassi solo per il titolare del conto oggetto della domanda di assistenza e solo in quanto le informazioni contenute nel verbale possano essere equiparate a una tra- smissione di documenti concernenti la relazione e il titolare sarebbe stato, in tal caso, legittimato a impugnarne la trasmissione (DTF 124 II 180 con- sid. 2; sentenza 1A.282/2005 del 30 aprile 2007, consid. 2.3.1; sentenza 1A.141/1998 del 9 febbraio 1999 consid. 2a, apparsa in: Rep 1999 pag. 123; TPF 2007 79 consid. 1.6 pag. 82).</w:t>
      </w:r>
    </w:p>
    <w:p>
      <w:r>
        <w:rPr>
          <w:b/>
        </w:rPr>
        <w:t>E. 1.4.2</w:t>
      </w:r>
    </w:p>
    <w:p>
      <w:r>
        <w:t>In concreto, la legittimazione ricorsuale del ricorrente è pacificamente data sia per quanto riguarda sia la documentazione bancaria relativa ai conti bancari a lui intestati, sia per la documentazione sequestrata presso i suoi locali, sia per il suo verbale d'interrogatorio. Essa fa per contro difetto per quanto attiene alla documentazione sequestrata nei locali della D. SA.</w:t>
      </w:r>
    </w:p>
    <w:p>
      <w:r>
        <w:t>Nei termini appena esposti occorre quindi entrare nel merito del gravame.</w:t>
      </w:r>
    </w:p>
    <w:p>
      <w:r>
        <w:rPr>
          <w:b/>
        </w:rPr>
        <w:t>E. 2</w:t>
      </w:r>
    </w:p>
    <w:p>
      <w:r>
        <w:t>Il ricorrente contesta innanzitutto la competenza dell'AFD nell'emanare le decisioni impugnate. A suo dire, nella fattispecie non vi sarebbe alcuna ipo- tesi di reato doganale o di truffa fiscale. Non si capirebbe del resto quale sia il reato perseguito a monte del riciclaggio di denaro, infrazione che a- vrebbe dovuto semmai condurre alla delega in favore dell'autorità penale. Essa contesta altresì il potere di firma del funzionario che ha firmato le de- cisioni impugnate.</w:t>
      </w:r>
    </w:p>
    <w:p>
      <w:r>
        <w:rPr>
          <w:b/>
        </w:rPr>
        <w:t>E. 2.1</w:t>
      </w:r>
    </w:p>
    <w:p>
      <w:r>
        <w:t>L'art. 17 cpv. 4 AIMP prevede che l'Ufficio federale può delegare l'attuazio- ne totale o parziale del procedimento all'autorità federale che sarebbe stata competente a reprimere se il reato fosse stato commesso in Svizzera (v. anche ROBERT ZIMMERMANN, La coopération judiciaire internationale en matière pénale, 3a ediz., Berna 2009, n. 262 pag. 250). Secondo l'art. 79 AIMP, se il disbrigo della domanda esige indagini in più Cantoni o se essa concerne anche un'autorità federale, l'Ufficio federale può affidarne l'ese- cuzione a un'unica autorità. Gli articoli 44, 47, 52 e 53 CPP sono applicabili per analogia (cpv. 1). L'Ufficio federale può deferire l'esecuzione parziale o totale della domanda all'autorità federale che sarebbe competente a repri- mere se il reato fosse stato commesso in Svizzera (cpv. 2). L'Ufficio federa- le può deferire all'autorità incaricata anche l'esecuzione di domande com- plementari (cpv. 3). La designazione dell'autorità cantonale o federale a cui è stata affidata la direzione della procedura non può essere contestata (cpv. 4; cfr. R. ZIMMERMANN, op. cit., n. 253 pag. 245). In questo senso es- sa non è contemplata fra le decisioni antecedenti alla decisione di chiusura impugnabili congiuntamente con quest'ultima giusta l'art. 80e cpv. 1 AIMP (v. TPF 2010 148 consid. 3). La censura su questo punto è dunque inam-</w:t>
      </w:r>
    </w:p>
    <w:p>
      <w:r>
        <w:t>- 7 -</w:t>
      </w:r>
    </w:p>
    <w:p>
      <w:r>
        <w:t>missibile. Si rileva comunque, a titolo abbondanziale, che in questo ambito l'UFG dispone di un ampio margine d'apprezzamento (v. sentenza del Tri- bunale federale 1°.103/1992 del 1° settembre 1993), il quale non è stato in concreto trasceso, vista la natura doganale dei reati ipotizzati in Italia (v. art. 128 cpv. 2 della legge sulle dogane, LD; RS 631.0) nonché le speci- fiche competenze dell'AFD in ambito di controllo dei metalli preziosi (v. leg- ge sul controllo dei metalli preziosi, LCMP; RS 941.31).</w:t>
      </w:r>
    </w:p>
    <w:p>
      <w:r>
        <w:rPr>
          <w:b/>
        </w:rPr>
        <w:t>E. 2.2</w:t>
      </w:r>
    </w:p>
    <w:p>
      <w:r>
        <w:t>Per quanto attiene al potere di firma del funzionario che ha sottoscritto le decisioni impugnate, ferma restando la facoltà dell'AFD di disciplinare con relativa autonomia la concreta gestione degli affari di sua competenza e dei rispettivi poteri di firma (sul quadro normativo generale v. MARTIN KOCHER/DIEGO CLAVADETSCHER, Zollgesetz, Berna 2009, pag. 570; PIERRE MOOR/ALEXANDER FLÜCKIGER/VINCENT MARTENET, Droit administratif, vol. I, 3a ediz., Berna 2012, pag. 552 e seg.), esso ha prodotto, in sede di rispo- sta, un documento intitolato "Geschäftsordnung Oberzolldirektion (GO OZD)" dove vengono elencate le competenze della divisione principale "Di- ritto e tributi" ("Hauptabteilung Recht und Abgabe") (v. act. 7.7). Fra queste, sotto il capitolo "Strafsachen" figura la "Stellungnahme zu Rechts- und Amtshilfegesuchen in Strafsachen und deren Vollzug" (v. ibidem pag. 20). Detta divisione è altresì competente per la "Behandlung von Beschwerden gegen Untersuchungshandlungen, Stellungnahmen zu Beschwerden ge- gen Zwangsmassnahmen zu Handen des Bundesstrafgerichts" (v. ibidem). Nella misura in cui le decisioni impugnate sono state firmate in concreto dalla signora I., vicedirettrice dell'AFD, nonché capo della divisione princi- pale "Diritto e tributi", la censura in questione è da respingere.</w:t>
      </w:r>
    </w:p>
    <w:p>
      <w:r>
        <w:rPr>
          <w:b/>
        </w:rPr>
        <w:t>E. 3</w:t>
      </w:r>
    </w:p>
    <w:p>
      <w:r>
        <w:t>L'insorgente afferma che, nonostante la sua opposizione alla presenza di funzionari esteri, l'autorità d'esecuzione avrebbe concesso all'autorità ro- gante illimitato accesso a tutti gli atti sequestrati, senza notificare alcunché alle parti, in violazione del loro diritto di essere sentite e di ricorso, ciò che implicherebbe la nullità delle decisioni impugnate.</w:t>
      </w:r>
    </w:p>
    <w:p>
      <w:r>
        <w:rPr>
          <w:b/>
        </w:rPr>
        <w:t>E. 3.1</w:t>
      </w:r>
    </w:p>
    <w:p>
      <w:r>
        <w:t>L'art. 80e cpv. 2 AIMP prevede che le decisioni incidentali anteriori alla de- cisione di chiusura possono essere impugnate separatamente se causano un pregiudizio immediato e irreparabile mediante il sequestro di beni e va- lori (lett. a) o la presenza di persone che partecipano al processo all'estero (lett. b).</w:t>
      </w:r>
    </w:p>
    <w:p>
      <w:r>
        <w:rPr>
          <w:b/>
        </w:rPr>
        <w:t>E. 3.2</w:t>
      </w:r>
    </w:p>
    <w:p>
      <w:r>
        <w:t>In concreto, occorre rilevare che l'AFD, con decisione di entrata in materia e incidentale del 16 ottobre 2013, ha statuito sulla presenza dei funzionari dell'autorità richiedente ammettendola. Essa ha tuttavia condizionato tale presenza alla firma, da parte dei predetti, di una dichiarazione tesa ad im-</w:t>
      </w:r>
    </w:p>
    <w:p>
      <w:r>
        <w:t>- 8 -</w:t>
      </w:r>
    </w:p>
    <w:p>
      <w:r>
        <w:t>pedire un utilizzo prematuro – ossia antecedente ad una decisione di chiu- sura – di informazioni ottenute durante l'esecuzione della rogatoria o in se- guito ad una consultazione di dati o documenti (v. act. 7.5 pag. 4 e seg.), dichiarazione che è stata effettivamente sottoscritta dagli inquirenti italiani il</w:t>
      </w:r>
    </w:p>
    <w:p>
      <w:r>
        <w:rPr>
          <w:b/>
        </w:rPr>
        <w:t>E. 5</w:t>
      </w:r>
    </w:p>
    <w:p>
      <w:r>
        <w:t>L'insorgente sostiene che la decisione impugnata sia lesiva del principio della proporzionalità.</w:t>
      </w:r>
    </w:p>
    <w:p>
      <w:r>
        <w:rPr>
          <w:b/>
        </w:rPr>
        <w:t>E. 5.1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 base alla giurisprudenza l'esame va quindi limita- to alla cosiddetta utilità potenziale, motivo per cui la consegna giusta l'art. 74 AIMP è esclusa soltanto per quei mezzi di prova certamente privi di rilevanza per il procedimento penale all'estero (DTF 126 II 258 consid. 9c; 122 II 367 consid. 2c; 121 II 241 consid. 3a e b). Da consolidata prassi, quando le autorità estere chiedono informazioni su conti bancari nell'ambito di procedimenti per reati patrimoniali come quelli qui in esame, esse ne- cessitano di regola di tutti i documenti ivi relativi, perché debbono poter in-</w:t>
      </w:r>
    </w:p>
    <w:p>
      <w:r>
        <w:t>- 12 -</w:t>
      </w:r>
    </w:p>
    <w:p>
      <w:r>
        <w:t>dividuare il titolare giuridico ed economico dei conti eventualmente forag- giati con proventi illeciti, per sapere a quali persone o entità giuridiche pos- sano essere ricollegati (DTF 129 II 462 consid. 5.5; 124 II 180 consid. 3c inedito; 121 II 241 consid. 3b e c; sentenze del Tribunale federale 1A.177/2006 del 10 dicembre 2007, consid. 5.5; 1A.227/2006 del 22 feb- braio 2007, consid. 3.2; 1A.195/2005 del 1° settembre 2005 in fine; sull'utili- tà dei documenti d'apertura di un conto v. sentenza del Tribunale federale 1A.182/2006 del 9 agosto 2007, consid. 3.2; cfr. anche DTF 130 II 14 con- 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 ressate (DTF 129 II 462 consid. 5.5; sentenze del Tribunale federale 1A.182/2006 del 9 agosto 2007, consid. 2.3 e 3.2; 1A.52/2007 del 20 luglio 2007, consid. 2.1.3; 1A.227/2006 del 22 febbraio 2007, consid. 3.2; 1A.195/2005 del 1° settembre 2005 in fine; 1A.79/2005 del 27 aprile 2005, consid. 4.1).</w:t>
      </w:r>
    </w:p>
    <w:p>
      <w:r>
        <w:rPr>
          <w:b/>
        </w:rPr>
        <w:t>E. 5.2</w:t>
      </w:r>
    </w:p>
    <w:p>
      <w:r>
        <w:t>In concreto, l'autorità rogante considera A. il "deus ex machina" di tutti i presunti traffici illeciti di oro, conclusione che motiva riproponendo soprat- tutto stralci di intercettazioni telefoniche concernenti gli indagati. Essa ritie- ne "estremamente sintomatica la circostanza che, al verificarsi di un evento "traumatico" per l'organizzazione, A. convochi degli incontri con i propri più stretti sodali, ai quali partecipa personalmente, impartendo le nuove linee operative, quali il contingentamento dei quantitativi e la definizione di più pesanti quotazioni, come accertato nei due episodi documentati. Quanto emerso dalle indagini, depone fermamente circa la presenza di un'unica regia da parte i A. a monte dei traffici orditi dai diversi indagati" (v. act. 7.1 pag. 19). Essa aggiunge che "si rende quindi indispensabile accertare at- traverso quali meccanismi l'indagato riesca a trasformare l'oro e dotarlo di documentazione attestante legittima provenienza. Risulta dagli atti di inda- gine che l'indagato dovrebbe avere la disponibilità di un banco metalli e di- sponibilità di denaro contante per svariati milioni di euro a settimana, per i quali sarebbe necessario accertare la provenienza. Il coindagato C. ha di- chiarato che l'oro destinato a A., dopo avere passato la dogana su auto do- tate di doppio fondo, veniva portato (in quantitativi aggirantisi in circa 200 kg a settimana per il solo ramo dell'organizzazione facente a lui riferimento) presso la società M. di Chiasso che provvedeva al pagamento in contanti del metallo, che poi avrebbe rivenduto in forma ufficiale a grandi fonderie dotate del Good delivery" (v. ibidem). Orbene, ritenuto che A. è indagato in Italia in qualità di "deus ex machina" di tutti i presunti traffici illeciti di oro, la documentazione relativa ai suoi conti bancari e alle sue attività, nonché il</w:t>
      </w:r>
    </w:p>
    <w:p>
      <w:r>
        <w:t>- 13 -</w:t>
      </w:r>
    </w:p>
    <w:p>
      <w:r>
        <w:t>suo verbale d'interrogatorio, tutti atti oggetto delle decisioni impugnate, ri- vestono un'utilità potenziale manifesta.</w:t>
      </w:r>
    </w:p>
    <w:p>
      <w:r>
        <w:t>Quanto precede permette di confermare la sufficiente relazione tra le misu- ra d'assistenza richieste e l'oggetto del procedimento penale estero, spet- tando comunque al giudice estero del merito valutare se dalla documenta- zione sequestrata emerge in concreto una connessione penalmente rile- vante fra i fatti perseguiti in Italia e detta documentazione o conti bancari. Vi è quindi da concludere che la domanda di assistenza estera non viola il principio della proporzionalità.</w:t>
      </w:r>
    </w:p>
    <w:p>
      <w:r>
        <w:rPr>
          <w:b/>
        </w:rPr>
        <w:t>E. 6</w:t>
      </w:r>
    </w:p>
    <w:p>
      <w:r>
        <w:t>Il ricorrente postula infine la revoca dei sequestri documentali e patrimoniali nonché mobiliari ed immobiliari.</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 sproporzionato per rapporto a quest'ultima (DTF 130 II 329 consid. 3; sentenza del Tribu- nale federale 1C_513/2010 dell'11 marzo 2011, consid. 3.3). Ebbene, visto quanto esposto nel precedente considerando, è senz'altro possibile affer- mare che esistono elementi sufficienti per confermare i sequestri contestati, i quali concerne proprio gli averi in conto sulle relazioni di cui va trasmessa la documentazione. Toccherà poi all'autorità estera esaminare il contenuto della documentazione di cui è stata ordinata la trasmissione e accertare l'e- ventuale provenienza illecita dei fondi sequestrati. Dovessero i valori in questione essere effettivamente il risultato d'infrazioni penali, essi potreb- bero fare l'oggetto di una decisione di confisca o di restituzione all'avente diritto nello Stato richiedente (v. art. 74a cpv. 1 e 2 AIMP e art. 13 e segg. CRic, nonché DTF 123 II 134 consid. 5c, 268 consid. 4, 595 consid. 3). Il sequestro di tali fondi deve essere mantenuto di principio sino alla notifica di una decisione definitiva ed esecutiva dello Stato richiedente o fintanto che quest'ultimo non abbia comunicato che una tale decisione non può più essere pronunciata (art. 74a cpv. 3 AIMP e 33a OAIMP; TPF 2007 124 consid. 8 e rinvii; v. anche art. 11 e seg. CRic), ferma restando la necessità che la procedura all'estero avanzi (DTF 126 II 462 consid. 5e). Il ricorrente non ha peraltro sostanziato nessun pregiudizio economico cagionato dai sequestri. Anche da questo punto di vista i blocchi in questione non presen- tano alcun elemento di sproporzionalità. Ne consegue che i sequestri van- no confermati e le relative censure respinte.</w:t>
      </w:r>
    </w:p>
    <w:p>
      <w:r>
        <w:t>- 14 -</w:t>
      </w:r>
    </w:p>
    <w:p>
      <w:r>
        <w:rPr>
          <w:b/>
        </w:rPr>
        <w:t>E. 7</w:t>
      </w:r>
    </w:p>
    <w:p>
      <w:r>
        <w:t>Non avvedendosi altre ragioni per rifiutare l'assistenza sollecitata, le deci- sioni impugnate vanno integralmente confermate ed il gravame respinto, nella misura della sua ammissibilità.</w:t>
      </w:r>
    </w:p>
    <w:p>
      <w:r>
        <w:rPr>
          <w:b/>
        </w:rPr>
        <w:t>E. 8</w:t>
      </w:r>
    </w:p>
    <w:p>
      <w:r>
        <w:t>Le spese seguono la soccombenza (v. art. 63 cpv. 1 della legge federale sulla procedura amministrativa del 20 dicembre 1968 [PA; RS 172.021] ri- chiamato l’art. 39 cpv. 2 lett. b LOAP). La tassa di giustizia è calcolata giu- sta gli art. 73 cpv. 2 LOAP, 63 cpv. 4bis lett. b PA, nonché 5 e 8 cpv. 3 lett. b del regolamento del 31 agosto 2010 sulle spese, gli emolumenti, le ripetibili e le indennità della procedura penale federale (RSPPF; RS 173.713.162), ed è fissata nella fattispecie a fr. 5'000.--; essa è coperta dall’anticipo delle spese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