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RR.2014.189 vom 17. Juli 2014</w:t>
      </w:r>
    </w:p>
    <w:p>
      <w:r>
        <w:t>Bundesstrafgericht, 2014-07-17, DE</w:t>
      </w:r>
    </w:p>
    <w:p>
      <w:r>
        <w:rPr>
          <w:b/>
        </w:rPr>
        <w:t xml:space="preserve">Quelle: </w:t>
      </w:r>
      <w:r>
        <w:t>https://mcp.opencaselaw.ch/entscheid/bstger_RR.2014.189</w:t>
      </w:r>
    </w:p>
    <w:p>
      <w:r>
        <w:t>FR: TPF RR.2014.189 du 17 juillet 2014</w:t>
      </w:r>
    </w:p>
    <w:p>
      <w:r>
        <w:t>IT: TPF RR.2014.189 del 17 luglio 2014</w:t>
      </w:r>
    </w:p>
    <w:p>
      <w:pPr>
        <w:pStyle w:val="Heading2"/>
      </w:pPr>
      <w:r>
        <w:t>Regeste</w:t>
      </w:r>
    </w:p>
    <w:p>
      <w:r>
        <w:t>Internationale Rechtshilfe in Strafsachen an Liechtenstein. Herausgabe von Beweismitteln (Art. 74 IRSG).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Juli 2014 mit dem Vermerk "Nicht abgeholt" ungeöffnet retourniert wur- de (act. 4);</w:t>
      </w:r>
    </w:p>
    <w:p>
      <w:r>
        <w:t>- eine Mitteilung, die nur gegen Unterschrift des Adressaten oder einer ande- ren berechtigten Person überbracht wird, spätestens am siebten Tag nach dem ersten erfolglosen Zustellungsversuch als erfolgt gilt (Art. 20 Abs. 2bis VwVG i.V.m. Art. 39 Abs. 2 lit. b StBOG);</w:t>
      </w:r>
    </w:p>
    <w:p>
      <w:r>
        <w:t>- 3 -</w:t>
      </w:r>
    </w:p>
    <w:p>
      <w:r>
        <w:t>- nach Lehre und Rechtsprechung kumulativ folgende zwei Bedingungen er- füllt sein müssen, um bei eingeschriebenen Sendungen die Zustellfiktion auszulösen: erstens die Abholeinladung in den physischen oder elektroni- schen Briefkasten bzw. ins Postfach des Empfängers gelegt worden sein muss; zweitens der Empfänger eine solche Zustellung mit einer gewissen Wahrscheinlichkeit erwarten muss (MAITRE/THALSMANN, in: WALDMANN/ WEISSENBERGER [HRSG.], VwVG, Praxiskommentar zum Bundesgesetz über das Verwaltungsverfahren, Zürich/Basel/Genf 2009, Art. 20 N. 42 ff.; BGE 130 III 396 E. 1.2.3; 123 III 492 E. 1; 120 III 3 E. 1d; 119 V 89 E. 4b/aa);</w:t>
      </w:r>
    </w:p>
    <w:p>
      <w:r>
        <w:t>- der Beschwerdeführer das Beschwerdeverfahren persönlich eingeleitet hat und damit mit behördlichen Zustellungen rechnen musste;</w:t>
      </w:r>
    </w:p>
    <w:p>
      <w:r>
        <w:t>- gemäss der elektronischen Sendungsverfolgung "Track &amp; Trace" bereits am 5. Juli 2014 ein Zustellversuch bzw. eine Abholungseinladung an die Adresse des Beschwerdeführers erfolgt ist (act. 5);</w:t>
      </w:r>
    </w:p>
    <w:p>
      <w:r>
        <w:t>- in Anwendung der vorerwähnten Bestimmungen das Schreiben vom 3. Juli 2014 dem Beschwerdeführer demnach vor Ablauf der Frist vom 14. Juli 2014 als zugestellt gilt;</w:t>
      </w:r>
    </w:p>
    <w:p>
      <w:r>
        <w:t>- der Beschwerdeführer innert Frist (und bis dato) weder den verlangten Kostenvorschuss bezahlt noch um Gewährung der unentgeltlichen Rechts- pflege ersucht hat;</w:t>
      </w:r>
    </w:p>
    <w:p>
      <w:r>
        <w:t>- auf die Beschwerde daher androhungsgemäss nicht einzutreten ist (Art. 63 Abs. 4 VwVG i.V.m. Art. 39 Abs. 2 lit. b StBOG);</w:t>
      </w:r>
    </w:p>
    <w:p>
      <w:r>
        <w:t>- unter diesem Umständen die Frage, ob die Beschwerde überhaupt fristge- recht erhoben worden ist, nicht geprüft werden muss;</w:t>
      </w:r>
    </w:p>
    <w:p>
      <w:r>
        <w:t>- der Beschwerdeführer bei diesem Ausgang des Verfahrens kostenpflichtig wird (Art. 63 Abs. 1 VwVG i.V.m. Art. 39 Abs. 2 lit. b StBOG); für die Be- rechnung der Gerichtsgebühren das Reglement vom 31. August 2010 des Bundesstrafgerichts über die Kosten, Gebühren und Entschädigungen in Bundesstrafverfahren (BStKR; SR 173.713.162) zur Anwendung gelangt (Art. 63 Abs. 5 VwVG i.V.m. Art. 73 StBOG); unter Berücksichtigung aller Umstände die Gerichtsgebühr vorliegend auf CHF 500.-- anzusetzen ist (Art. 8 Abs. 3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