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RR.2014.172 vom 15. Juli 2014</w:t>
      </w:r>
    </w:p>
    <w:p>
      <w:r>
        <w:t>Bundesstrafgericht, 2014-07-15, DE</w:t>
      </w:r>
    </w:p>
    <w:p>
      <w:r>
        <w:rPr>
          <w:b/>
        </w:rPr>
        <w:t xml:space="preserve">Quelle: </w:t>
      </w:r>
      <w:r>
        <w:t>https://mcp.opencaselaw.ch/entscheid/bstger_RR.2014.172</w:t>
      </w:r>
    </w:p>
    <w:p>
      <w:r>
        <w:t>FR: TPF RR.2014.172 du 15 juillet 2014</w:t>
      </w:r>
    </w:p>
    <w:p>
      <w:r>
        <w:t>IT: TPF RR.2014.172 del 15 luglio 2014</w:t>
      </w:r>
    </w:p>
    <w:p>
      <w:pPr>
        <w:pStyle w:val="Heading2"/>
      </w:pPr>
      <w:r>
        <w:t>Regeste</w:t>
      </w:r>
    </w:p>
    <w:p>
      <w:r>
        <w:t>Internationale Rechtshilfe in Strafsachen an die Türkei. Herausgabe von Beweismitteln (Art. 74 IRSG). Kontosperre (Art. 33a IRSV).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2008 eine Beschwerde einreichen liess, auf welche das Bun- desstrafgericht mit Entscheid RR.2008.285-286 vom 5. Februar 2009 nicht eintrat;</w:t>
      </w:r>
    </w:p>
    <w:p>
      <w:r>
        <w:t>- mit Schlussverfügung vom 29. April 2014 die Bundesanwaltschaft dem tür- kischen Rechtshilfeersuchen insofern entsprach, als sie die rechtshilfewei- se Herausgabe diverser Bankunterlagen betreffend auf A. lautende Konti bei der Bank C. AG und der Bank D. AG verfügte; sie sodann die Aufrecht- erhaltung der mit Verfügung vom 24. Oktober 2008 bei der Bank D. AG und bei der Bank C. AG angeordneten Kontosperren hinsichtlich der auf A. lau- tenden Konti anordnete (act. 1.2);</w:t>
      </w:r>
    </w:p>
    <w:p>
      <w:r>
        <w:t>- dagegen A. vertreten durch Rechtsanwalt Lutz mit Eingabe vom 30. Mai 2014 Beschwerde erheben liess (act. 1); der Beschwerdeführer im Hauptpunkt beantragte, die angefochtene Schlussverfügung sei aufzuhe- ben und die Unterlagen seien nicht herauszugeben; (sub-)eventualiter sei- en die Unterlagen, ohne die in der Beschwerde namentlich genannten Do- kumente und unter Abdeckung der Angaben zu zwei genannten Personen, herauszugeben (act. 1 S. 2);</w:t>
      </w:r>
    </w:p>
    <w:p>
      <w:r>
        <w:t>- 3 -</w:t>
      </w:r>
    </w:p>
    <w:p>
      <w:r>
        <w:t>- gemäss Art. 39 Abs. 2 lit. b StBOG i.V.m. Art. 63 Abs. 4 VwVG die Be- schwerdeinstanz, ihr Vorsitzender oder der Instruktionsrichter vom Be- schwerdeführer einen Kostenvorschuss in der Höhe der mutmasslichen Verfahrenskosten erhebt; auf die Erhebung des Kostenvorschusses ganz oder teilweise verzichtet werden kann, wenn besondere Gründe vorliegen;</w:t>
      </w:r>
    </w:p>
    <w:p>
      <w:r>
        <w:t>- Rechtsanwalt Lutz als Rechtsvertreter des Beschwerdeführers in Anwen- dung der vorgenannten Bestimmung mit Schreiben vom 5. Juni 2014 ein- geladen wurde, bis 16. Juni 2014 einen Kostenvorschuss in der Höhe von Fr. 10'000.-- zu leisten, und darauf aufmerksam gemacht wurde, dass bei Säumnis auf die Beschwerde nicht eingetreten werde (act. 3);</w:t>
      </w:r>
    </w:p>
    <w:p>
      <w:r>
        <w:t>- mit Schreiben vom 13. Juni 2014 Rechtsanwalt Lutz um Erstreckung der Frist um 30 Tage ersuchte (act. 4);</w:t>
      </w:r>
    </w:p>
    <w:p>
      <w:r>
        <w:t>- mit Verfügung vom 16. Juni 2014 die Frist letztmals bis 27. Juni 2014 er- streckt wurde (act. 4);</w:t>
      </w:r>
    </w:p>
    <w:p>
      <w:r>
        <w:t>- mit Schreiben vom 25. Juni 2014 Rechtsanwalt Lutz um Erstreckung der Frist zur Leistung des Kostenvorschusses bis am 31. Juli 2014 ersuchte (act. 8);</w:t>
      </w:r>
    </w:p>
    <w:p>
      <w:r>
        <w:t>- mit Verfügung vom 26. Juni 2014 das Fristerstreckungsgesuch im Sinne einer Notfrist bis 30. Juni 2014 bewilligt wurde (act. 8);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39 Abs. 2 lit. b StBOG i.V.m. Art. 21 Abs. 3 VwVG);</w:t>
      </w:r>
    </w:p>
    <w:p>
      <w:r>
        <w:t>- der Beschwerdeführer auch innerhalb der Notfrist den verlangten Kosten- vorschuss nicht bezahlte; besondere Gründe, welche den Verzicht auf die Erhebung des Kostenvorschusses rechtfertigen würden, nicht vorliegen;</w:t>
      </w:r>
    </w:p>
    <w:p>
      <w:r>
        <w:t>- auf die Beschwerde daher androhungsgemäss nicht einzutreten ist (Art. 39 Abs. 2 lit. b StBOG i.V.m. Art. 63 Abs. 4 VwVG);</w:t>
      </w:r>
    </w:p>
    <w:p>
      <w:r>
        <w:t>- der Beschwerdeführer bei diesem Ausgang des Verfahrens kostenpflichtig wird (Art. 39 Abs. 2 lit. b StBOG i.V.m. Art. 63 Abs. 1 VwVG);</w:t>
      </w:r>
    </w:p>
    <w:p>
      <w:r>
        <w:t>- für die Berechnung der Gerichtsgebühr gemäss Art. 73 StBOG i.V.m. Art. 63 Abs. 5 VwVG das Reglement des Bundesstrafgerichts über die Kos-</w:t>
      </w:r>
    </w:p>
    <w:p>
      <w:r>
        <w:t>- 4 -</w:t>
      </w:r>
    </w:p>
    <w:p>
      <w:r>
        <w:t>ten, Gebühren und Entschädigungen in Bundesstrafverfahren vom 31. Au- gust 2010 (BStKR, SR 173.713.162) zur Anwendung gelangt; die Gerichts- gebühr auf Fr. 500.-- anzusetzen ist (vgl. Art. 8 des Reglements).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