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RR.2014.165 vom 14. November 2014</w:t>
      </w:r>
    </w:p>
    <w:p>
      <w:r>
        <w:t>Bundesstrafgericht, 2014-11-14, FR</w:t>
      </w:r>
    </w:p>
    <w:p>
      <w:r>
        <w:rPr>
          <w:b/>
        </w:rPr>
        <w:t xml:space="preserve">Quelle: </w:t>
      </w:r>
      <w:r>
        <w:t>https://mcp.opencaselaw.ch/entscheid/bstger_RR.2014.165</w:t>
      </w:r>
    </w:p>
    <w:p>
      <w:r>
        <w:t>FR: TPF RR.2014.165 du 14 novembre 2014</w:t>
      </w:r>
    </w:p>
    <w:p>
      <w:r>
        <w:t>IT: TPF RR.2014.165 del 14 novembre 2014</w:t>
      </w:r>
    </w:p>
    <w:p>
      <w:pPr>
        <w:pStyle w:val="Heading2"/>
      </w:pPr>
      <w:r>
        <w:t>Regeste</w:t>
      </w:r>
    </w:p>
    <w:p>
      <w:r>
        <w:t>Entraide judiciaire internationale en matière pénale à l'Espagne. Extension du principe de spécialité (art. 67 al. 2 EIMP).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MOSER/BEUSCH/KNEUBÜHLER, Prozessieren vor dem Bundesverwaltungsgericht, Bâle 2008, § 3.17, p. 115).</w:t>
      </w:r>
    </w:p>
    <w:p>
      <w:r>
        <w:rPr>
          <w:b/>
        </w:rPr>
        <w:t>E. 1.2</w:t>
      </w:r>
    </w:p>
    <w:p>
      <w:r>
        <w:t>En l'espèce, la présente cause et celle ouverte par la Cour de céans sous numéros RR.2014.167 et 169 concernent des recourants différents représentés par des conseils distincts. Il n'y a dès lors pas lieu de les joindre.</w:t>
      </w:r>
    </w:p>
    <w:p>
      <w:r>
        <w:rPr>
          <w:b/>
        </w:rPr>
        <w:t>E. 2.1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elles des normes internationales (v. art. 48 ch. 2 CAAS et 39 ch. 2 CBl). L’application de la</w:t>
      </w:r>
    </w:p>
    <w:p>
      <w:r>
        <w:t>norme la plus favorable doit avoir lieu dans le respect des droits fondamentaux (ATF 135 IV 212 consid. 2.3; 123 II 595 consid. 7c).</w:t>
      </w:r>
    </w:p>
    <w:p>
      <w:r>
        <w:rPr>
          <w:b/>
        </w:rPr>
        <w:t>E. 2.2</w:t>
      </w:r>
    </w:p>
    <w:p>
      <w:r>
        <w:t>Aux termes de l'art. 25 al. 1 EIMP, les décisions rendues en première instance par les autorités cantonales et fédérales peuvent, sauf exceptions n'entrant pas en considération ici, directement faire l'objet d'un recours devant la cour des plaintes du Tribunal pénal fédéral.</w:t>
      </w:r>
    </w:p>
    <w:p>
      <w:r>
        <w:t>Dans son courrier du 14 avril 2014, la partie adverse a consenti à l'utilisation par les autorités espagnoles, pour les besoins de l'enquête mentionnée dans le 41e complément du 2 avril 2014, de la documentation bancaire qui leur avait été précédemment remise. Cette lettre crée donc des droits en faveur desdites autorités, si bien qu'elle constitue matériellement une décision au sens de l'art. 5 PA. De plus, l'autorisation litigieuse a été donnée en première instance par une autorité fédérale. La Cour de céans est dès lors compétente pour connaître du présent litige.</w:t>
      </w:r>
    </w:p>
    <w:p>
      <w:r>
        <w:rPr>
          <w:b/>
        </w:rPr>
        <w:t>E. 2.3</w:t>
      </w:r>
    </w:p>
    <w:p>
      <w:r>
        <w:t>Selon l'art. 80h let. b EIMP, la qualité pour agir contre une mesure d'en- traide judiciaire est reconnue à celui qui est personnellement et directement touché par cette mesure. La personne visée par la procédure pénale étrangère peut recourir aux mêmes conditions (art. 21 al. 3 EIMP). Aux termes de l’art. 9a let. a OEIMP, est notamment réputé personnellement et directement touché au sens des dispositions légales précitées, en cas d’informations sur un compte, le titulaire du compte dont les documents font l’objet de la décision. Les recourants, qui en l'occurrence appartiennent à cette dernière catégorie de personnes (cf. let. C. et D.), ont qualité pour recourir.</w:t>
      </w:r>
    </w:p>
    <w:p>
      <w:r>
        <w:rPr>
          <w:b/>
        </w:rPr>
        <w:t>E. 2.4</w:t>
      </w:r>
    </w:p>
    <w:p>
      <w:r>
        <w:t>Etant donné que par la décision du 14 avril 2014, l'OFJ autorise l'autorité requérante à utiliser la documentation déjà transmise également aux fins de la poursuite des faits mentionnés dans le 41e complément du 2 avril précédent, cette décision doit être assimilée à une décision de clôture au sens de l'art. 80d EIMP. Partant, le délai de recours est de 30 jours dès la communication écrite de cet acte (art. 80k EIMP).</w:t>
      </w:r>
    </w:p>
    <w:p>
      <w:r>
        <w:t>En l'espèce, la décision précitée n'a pas été notifiée aux recourants, de sorte que c'est le moment où ceux-ci en ont eu connaissance qui constitue le dies a quo du délai de recours (ATF 124 II 124 consid. 2d/dd; arrêt du Tribunal fédéral 1A 281/1999 du 11 février 2000, consid. 1b/aa). Les recourants indiquent qu'il s'agit du 28 avril 2014 (act. 1 p.11) et la Cour de céans n'a pas de raisons de douter de la véracité de cette affirmation. Le recours, déposé à un office de poste suisse le 26 mai 2014, a donc été interjeté en temps utile.</w:t>
      </w:r>
    </w:p>
    <w:p>
      <w:r>
        <w:rPr>
          <w:b/>
        </w:rPr>
        <w:t>E. 2.5</w:t>
      </w:r>
    </w:p>
    <w:p>
      <w:r>
        <w:t>Compte tenu de ce qui précède, il y a lieu d'entrer en matière.</w:t>
      </w:r>
    </w:p>
    <w:p>
      <w:r>
        <w:rPr>
          <w:b/>
        </w:rPr>
        <w:t>E. 3.1</w:t>
      </w:r>
    </w:p>
    <w:p>
      <w:r>
        <w:t>La Suisse s'est réservé le droit de n'accorder l'entraide judiciaire en vertu de la CEEJ qu'à la condition expresse que les résultats des investigations faites en Suisse et les renseignements contenus dans les documents ou dossiers transmis soient utilisés exclusivement pour instruire et juger les infractions à raison desquelles l’entraide est fournie (Réserve de la Suisse en rapport à l’art. 2 CEEJ, let. b). Cette réserve exprime le principe de spécialité ancré à l’art. 67 EIMP. Toute autre utilisation des renseignements et documents obtenus par voie d’entraide est subordonnée à l’approbation de l’OFJ (art. 67 al. 2 EIMP).</w:t>
      </w:r>
    </w:p>
    <w:p>
      <w:r>
        <w:rPr>
          <w:b/>
        </w:rPr>
        <w:t>E. 3.2</w:t>
      </w:r>
    </w:p>
    <w:p>
      <w:r>
        <w:t>Selon l'art. 3 EIMP, la demande d'entraide est irrecevable si la procédure étrangère vise un acte qui paraît tendre à diminuer les recettes fiscales (al. 3); l'entraide peut en revanche être accordée pour la répression d'une escroquerie fiscale (al. 3 let. a).</w:t>
      </w:r>
    </w:p>
    <w:p>
      <w:r>
        <w:rPr>
          <w:b/>
        </w:rPr>
        <w:t>E. 4.1</w:t>
      </w:r>
    </w:p>
    <w:p>
      <w:r>
        <w:t>Le litige porte sur l'utilisation par les autorités espagnoles, dans le cadre de l'enquête mentionnée dans le 41e complément du 2 avril 2014, de la documentation bancaire concernant les recourants que leur ont remise les autorités suisses à la suite des décisions de clôture du 27 juin 2012.</w:t>
      </w:r>
    </w:p>
    <w:p>
      <w:r>
        <w:rPr>
          <w:b/>
        </w:rPr>
        <w:t>E. 4.2</w:t>
      </w:r>
    </w:p>
    <w:p>
      <w:r>
        <w:t>La partie adverse a estimé que l'Etat requérant était habilité à utiliser ces moyens de preuve, considérant que les investigations précitées portaient sur des faits constitutifs en droit suisse d'escroquerie fiscale. D'avis contraire, les recourants contestent le bien fondé d'une telle autorisation. Ils se plaignent, dans un grief qui compte tenu de sa nature formelle (v. infra consid. 3.6) doit être examiné en premier lieu, de la violation de leur droit d'être entendu.</w:t>
      </w:r>
    </w:p>
    <w:p>
      <w:r>
        <w:rPr>
          <w:b/>
        </w:rPr>
        <w:t>E. 4.3</w:t>
      </w:r>
    </w:p>
    <w:p>
      <w:r>
        <w:t>La partie adverse n'aurait pas respecté l'obligation que lui impose la jurisprudence de rendre une décision formelle lorsqu'elle est saisie, comme en l'espèce, d'une demande d'extension du principe de spécialité; elle n'aurait pas non plus donné aux recourants l'occasion de s'exprimer avant de rendre l'acte attaqué, lequel serait au surplus insuffisamment motivé.</w:t>
      </w:r>
    </w:p>
    <w:p>
      <w:r>
        <w:rPr>
          <w:b/>
        </w:rPr>
        <w:t>E. 4.4</w:t>
      </w:r>
    </w:p>
    <w:p>
      <w:r>
        <w:t>La jurisprudence a déduit du droit d'être entendu, au sens de l'art. 29 al. 2 Cst., l'obligation pour le juge de motiver ses décisions afin que le justiciable puisse les comprendre et exercer ses droits de recours à bon escient. Le</w:t>
      </w:r>
    </w:p>
    <w:p>
      <w:r>
        <w:t>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citées). Les exigences de motivation déduites de cette norme constitutionnelle valent également en procédure administrative (ATF 129 I 232 consid. 3.2).</w:t>
      </w:r>
    </w:p>
    <w:p>
      <w:r>
        <w:rPr>
          <w:b/>
        </w:rPr>
        <w:t>E. 4.5</w:t>
      </w:r>
    </w:p>
    <w:p>
      <w:r>
        <w:t>En outre,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127 V 431 consid. 3a; 124 II 132 consid. 2b et les références citées).</w:t>
      </w:r>
    </w:p>
    <w:p>
      <w:r>
        <w:rPr>
          <w:b/>
        </w:rPr>
        <w:t>E. 4.6</w:t>
      </w:r>
    </w:p>
    <w:p>
      <w:r>
        <w:t>Le droit d'être entendu est de nature formelle, si bien que sa violation entraîne l'annulation de la décision attaquée, indépendamment des chances de succès du recours sur le fond (ATF 127 V 437 consid. 3d/aa; 126 V 132 consid. 2b et les références citées). La jurisprudence admet toutefois qu'une violation de ce droit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129 I 129 consid. 2.2.3; 127 V 431 consid. 3d/aa; 126 V 130 consid. 2b); un tel procédé, qui doit cependant demeurer exceptionnel (ATF 127 V précité ibidem; 126 I 68 consid. 2; 126 II 111 consid. 6b/aa), est exclu en présence d'une violation grave du droit d'être entendu (ATF 127 V et 126 I précités ibidem). En outre, une autorité de première instance ne doit pas pouvoir spéculer sur une réparation systématique par l'instance de recours car cela reviendrait à vider de son sens le droit d'être entendu (ATF 126 II précité ibidem et les références citées).</w:t>
      </w:r>
    </w:p>
    <w:p>
      <w:r>
        <w:rPr>
          <w:b/>
        </w:rPr>
        <w:t>E. 4.7</w:t>
      </w:r>
    </w:p>
    <w:p>
      <w:r>
        <w:t>Aux termes de l'art. 34 al. 1 PA, l'autorité notifie ses décisions aux parties par écrit. L'art. 35 al. 1 de ce texte prévoit que même en cas de notification sous forme de lettre, les décisions écrites sont désignées comme telles, motivées, et indiquent les voies de droit. En matière d'entraide pénale internationale, cette dernière exigence ressort également de l'art. 22 EIMP.</w:t>
      </w:r>
    </w:p>
    <w:p>
      <w:r>
        <w:t>La jurisprudence a en outre précisé que lorsque l'OFJ donne son approbation à l'utilisation de renseignements et documents obtenus par voie d'entraide, au sens de l'art. 67 al. 2 EIMP, il doit le faire au moyen d'une décision sujette à recours (arrêt du Tribunal pénal fédéral RR.2010.234 du 16 octobre 2012, consid. 1.3.2 et 1.3.3). Cela vaut d'autant que l'OFJ admet l'exigence de cette condition dans son formulaire explicatif du contenu de la "réserve de la spécialité" habituellement transmis aux autorités requérantes avec les documents d'exécution. Il est en effet mentionné dans ledit formulaire (disponible à partir de la page internet http://www.rhf.admin.ch/rhf/fr/home/rhf/muster.html) que "[m]oyennement l'accord préalable de la Suisse, les moyens de preuve et renseignements transmis par la voie de l'entraide peuvent être utilisés […] a) pour la poursuite d'une escroquerie en matière fiscale au sens du droit suisse […]". Cette condition a été reprise telle quelle dans le courrier du</w:t>
      </w:r>
    </w:p>
    <w:p>
      <w:r>
        <w:rPr>
          <w:b/>
        </w:rPr>
        <w:t>E. 4.8</w:t>
      </w:r>
    </w:p>
    <w:p>
      <w:r>
        <w:t>Les recourants affirment, sans être contredits par aucun élément du dossier, qu'ils ont appris l'existence de la procédure initiée par le 41e complément de commission rogatoire du 2 avril 2014 lorsque l'avocat auquel ils ont confié la défense de leurs intérêts dans le cadre de l'enquête menée en Espagne leur a communiqué l'acte querellé (cf. act. 1.1). Or, dans ce dernier document, l'OFJ s'est contenté d'indiquer que les moyens de preuve précédemment transmis pouvaient être utilisés par les autorités espagnoles uniquement pour poursuivre des actes susceptibles d'être qualifiés en droit suisse d'escroquerie fiscale puis d'affirmer, sans fournir la moindre explication, que compte tenu des faits décrits dans le complément précité, cette condition était en l'espèce remplie. Dès lors, la lecture de l'acte entrepris ne permettait aucunement aux recourants de comprendre le raisonnement adopté par la partie adverse pour autoriser l'extension de la réserve de la spécialité. En procédant de la sorte, ladite autorité a méconnu les réquisits jurisprudentiels applicables en matière de motivation. Un tel manquement constitue à lui seul une violation grave du droit d'être entendu des recourants. En effet, l'obligation de motivation est une composante essentielle de ce droit qui, en plus de permettre à l'administré, respectivement au justiciable, de recourir efficacement (cf. supra consid. 4.4), tend à éviter que l'autorité ne se laisse guider par des motifs non pertinents (ATF 133 I 270 consid. 3.1) et confère à la décision un caractère rationnel et transparent (KÖLZ/HÄNER/BERTSCHI, Ver- waltungsverfahren und Verwaltungsrechtspflege des Bundes, 3e éd., Zurich/Bâle/Genève 2013, n° 629 et les références). A cela s'ajoute que les recourants n'ont eu l'occasion ni de prendre connaissance du dossier ni de</w:t>
      </w:r>
    </w:p>
    <w:p>
      <w:r>
        <w:t>s'exprimer avant que la décision entreprise ne fût rendue. Celle-ci, qui n'est pas désignée comme telle, ne comprend pas d'indication des voies de droit; ainsi qu'on l'a déjà relevé (cf. supra consid. 2.4), elle n'a jamais été notifiée aux recourants bien qu'ils eussent élu domicile au sens de l'art. 80m al.1 let. a EIMP au cours des précédentes procédures d'entraide (cf. let. C). En d'autres termes, l'acte attaqué méconnaît l'ensemble des principes énoncés aux consid. 4.4, 4.5 et 4.7 supra. L'instance de recours qui pallierait pareilles irrégularités se substituerait pour ainsi dire intégralement à l'autorité précédente. Une telle pratique permettrait à cette dernière de tabler sur une réparation du droit d'être entendu et ferait perdre inutilement une instance à l'administré (respectivement au justiciable); elle alourdirait aussi notablement la charge de travail de l'autorité de recours.</w:t>
      </w:r>
    </w:p>
    <w:p>
      <w:r>
        <w:rPr>
          <w:b/>
        </w:rPr>
        <w:t>E. 4.9</w:t>
      </w:r>
    </w:p>
    <w:p>
      <w:r>
        <w:t>Compte tenu de ce qui précède, la Cour de céans, bien qu'elle dispose d'un plein pouvoir d'examen en fait et en droit (v. TPF 2007 57), ne saurait réparer les violations du droit d'être entendu commises par la partie adverse. Aussi, y a-t-il lieu d'annuler la décision querellée sans examiner les autres griefs soulevés par les recourants et de lui renvoyer la cause pour nouvelle décision respectant les exigences précitées.</w:t>
      </w:r>
    </w:p>
    <w:p>
      <w:r>
        <w:t>5.</w:t>
      </w:r>
    </w:p>
    <w:p>
      <w:r>
        <w:t>5.1 En règle générale, les frais de procédure, comprenant l’émolument d’arrêt, les émoluments de chancellerie et les débours, sont mis à la charge de la partie qui succombe (art. 63 al. 1 PA).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arrêt doit être rendu sans frais. La caisse du Tribunal pénal fédéral restituera aux recourants l’avance de frais versée par CHF 6'000.--. 5.2 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les conseils des recourants n’ont pas produit de liste des opérations effectuées. Vu</w:t>
      </w:r>
    </w:p>
    <w:p>
      <w:r>
        <w:t>l’ampleur et la difficulté de la cause, et dans les limites admises par le règlement du Tribunal pénal fédéral du 31 août 2010 sur les frais, émoluments, dépens, et indemnités de la procédure pénale fédérale (RFPPF; RS 173.713.162), l’indemnité est fixée ex aequo et bono à CHF 1'500.--, à la charge de la partie adverse.</w:t>
      </w:r>
    </w:p>
    <w:p>
      <w:r>
        <w:rPr>
          <w:b/>
        </w:rPr>
        <w:t>E. 8</w:t>
      </w:r>
    </w:p>
    <w:p>
      <w:r>
        <w:t>avril 2014 que l'OFJ a adressé aux autorités espagnoles afin de leur expliciter dans quelles conditions elles pouvaient utiliser les moyens de preuve déjà transmis (act.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