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RR.2014.149 vom 22. September 2014</w:t>
      </w:r>
    </w:p>
    <w:p>
      <w:r>
        <w:t>Bundesstrafgericht, 2014-09-22, DE</w:t>
      </w:r>
    </w:p>
    <w:p>
      <w:r>
        <w:rPr>
          <w:b/>
        </w:rPr>
        <w:t xml:space="preserve">Quelle: </w:t>
      </w:r>
      <w:r>
        <w:t>https://mcp.opencaselaw.ch/entscheid/bstger_RR.2014.149</w:t>
      </w:r>
    </w:p>
    <w:p>
      <w:r>
        <w:t>FR: TPF RR.2014.149 du 22 septembre 2014</w:t>
      </w:r>
    </w:p>
    <w:p>
      <w:r>
        <w:t>IT: TPF RR.2014.149 del 22 settembre 2014</w:t>
      </w:r>
    </w:p>
    <w:p>
      <w:pPr>
        <w:pStyle w:val="Heading2"/>
      </w:pPr>
      <w:r>
        <w:t>Regeste</w:t>
      </w:r>
    </w:p>
    <w:p>
      <w:r>
        <w:t>Internationale Rechtshilfe in Strafsachen an Österreich. Herausgabe von Beweismitteln (Art. 74 IRSG).</w:t>
      </w:r>
    </w:p>
    <w:p>
      <w:pPr>
        <w:pStyle w:val="Heading2"/>
      </w:pPr>
      <w:r>
        <w:t>Erwägungen</w:t>
      </w:r>
    </w:p>
    <w:p>
      <w:r>
        <w:rPr>
          <w:b/>
        </w:rPr>
        <w:t>E. 1</w:t>
      </w:r>
    </w:p>
    <w:p>
      <w:r>
        <w:t>Für die Rechtshilfe zwischen der Schweiz und Österreich sind in erster Li- nie das Europäische Übereinkommen über die Rechtshilfe in Strafsachen vom 20. April 1959 (EUeR; SR 0.351.1), der zwischen den beiden Staaten abgeschlossene Vertrag vom 13. Juni 1972 über die Ergänzung des EUeR und die Erleichterung seiner Anwendung (Zusatzvertrag; SR 0.351.916.32) sowie die Bestimmungen der Art. 48 ff. des Übereinkommens vom 19. Ju- ni 1990 zur Durchführung des Übereinkommens von Schengen vom 14. Juni 1985 (Schengener Durchführungsübereinkommen, SDÜ; ABl. L 239 vom 22. September 2000, S. 19 – 62) massgebend. Soweit das Staatsvertragsrecht bestimmte Fragen nicht abschliessend regelt, gelangt das schweizerische Landesrecht, namentlich das Bundesgesetz vom 20. März 1981 über internationale Rechtshilfe in Strafsachen (IRSG; SR 351.1) und die Verordnung vom 24. Februar 1982 über internationale Rechtshilfe in Strafsachen (IRSV; SR 351.11), zur Anwendung (vgl. Art. 1 Abs. 1 IRSG). Ebenso zur Anwendung kommt vorliegend das Überein- kommen vom 8. November 1990 über Geldwäscherei sowie Ermittlung, Beschlagnahme und Einziehung von Erträgen aus Straftaten (GwUe; SR 0.311.53). Das innerstaatliche Recht gilt nach dem Günstigkeitsprinzip auch dann, wenn dieses geringere Anforderungen an die Rechtshilfe stellt (BGE 137 IV 33 E. 2.2.2; 136 IV 82 E. 3.1, 129 II 462 E. 1.1 S. 464). Vor- behalten bleibt die Wahrung der Menschenrechte (BGE 135 IV 212 E. 2.3; 123 II 595 E. 7c).</w:t>
      </w:r>
    </w:p>
    <w:p>
      <w:r>
        <w:rPr>
          <w:b/>
        </w:rPr>
        <w:t>E. 2.1</w:t>
      </w:r>
    </w:p>
    <w:p>
      <w:r>
        <w:t>Beim angefochtenen Entscheid handelt es sich um eine Schlussverfügung der ausführenden Bundesbehörde in internationalen Rechtshilfeangele- genheiten, gegen welche innert 30 Tagen ab der schriftlichen Mitteilung bei der Beschwerdekammer des Bundesstrafgerichts Beschwerde geführt wer- den kann (Art. 80e Abs. 1 i.V.m. Art. 80k IRSG; Art. 37 Abs. 2 lit. a Ziff. 1 StBOG; Art. 19 Abs. 2 BStGerOR). Die Beschwerde vom 5. Mai 2014 gegen die Schlussverfügung vom 4. April 2014 ist fristgerecht eingereicht worden.</w:t>
      </w:r>
    </w:p>
    <w:p>
      <w:r>
        <w:rPr>
          <w:b/>
        </w:rPr>
        <w:t>E. 2.2</w:t>
      </w:r>
    </w:p>
    <w:p>
      <w:r>
        <w:t>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2 und 80h IRSG der Kontoinhaber (Art. 9a lit. a IRSV; BGE 118 Ib 547 E. 1d; BGE 122 II 130 E. 2b; TPF 2007 79 E. 1.6).</w:t>
      </w:r>
    </w:p>
    <w:p>
      <w:r>
        <w:t>- 5 -</w:t>
      </w:r>
    </w:p>
    <w:p>
      <w:r>
        <w:t>Der Beschwerdeführer ist Inhaber des von der Rechtshilfemassnahme be- troffenen Kontos, sodass er zur Beschwerdeführung legitimiert ist und auf die Beschwerde einzutreten ist.</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4.1</w:t>
      </w:r>
    </w:p>
    <w:p>
      <w:r>
        <w:t>Der Beschwerdeführer macht eine Verletzung des rechtlichen Gehörs gel- tend. Er führt aus, dass der Schlussverfügung vom 4. April 2014 Akten zugrunde liegen würden, welche ihm nicht zugänglich gemacht worden seien. So würden insbesondere für die in der Schlussverfügung behaupte- ten Überweisungen an die D. AG vom 13. Mai und 1. Dezember 2004 in der Höhe von USD 15 Mio. und 7.2 Mio. in den Akten Belege fehlen. Eben- so seien die Behauptungen, dass ein Teilbetrag dieser Überweisungen auf das Konto des Beschwerdeführers bzw. der H. Ltd. und der I. Ltd. geflos- sen und dass ab dem Konto der D. AG Transaktionen zu J., K. und L. er- folgt seien, unbelegt. Es bestünden sodann keine Hinweise in den dem Be- schwerdeführer zugestellten Akten, die weder die wirtschaftliche Berechti- gung von M., K. und L. an der D. AG, der I. Ltd. und der H. Ltd. noch die Berechtigung von M. am Konto N. belegen würden (act. 1 S. 5 ff.; act. 10 S. 4 ff.).</w:t>
      </w:r>
    </w:p>
    <w:p>
      <w:r>
        <w:rPr>
          <w:b/>
        </w:rPr>
        <w:t>E. 4.2</w:t>
      </w:r>
    </w:p>
    <w:p>
      <w:r>
        <w:t>Der Anspruch auf rechtliches Gehör nach Art. 29 Abs. 2 BV umfasst insbe- sondere das Recht, die Akten einzusehen (BGE 131 V 35 E. 4.2). Gemäss Art. 80b Abs. 1 IRSG können die Berechtigten Einsicht in die Akten neh- men, soweit dies für die Wahrung ihrer Interessen notwendig ist, d.h. allein jene Akten sind offen zu legen, welche ihn direkt und persönlich betreffen. Das Akteneinsichtsrecht erstreckt sich ferner nur auf die für den angefoch-</w:t>
      </w:r>
    </w:p>
    <w:p>
      <w:r>
        <w:t>- 6 -</w:t>
      </w:r>
    </w:p>
    <w:p>
      <w:r>
        <w:t>tenen Entscheid erheblichen Unterlagen, seien sie im Zuge der Durchfüh- rung des Ersuchens erhoben oder seien sie diejenigen des Rechtshilfever- fahrens i.e.S. (das Ersuchen, begleitende Unterlagen). Die Pflicht der Vor- instanz zur Herausgabe der Akten an die Beschwerdeinstanz (Art. 57 Abs. 1 VwVG am Ende) bezieht sich damit nur auf jene Unterlagen, auf welche sich der angefochtene Entscheid stützt (BGE 127 I 145 E. 4a; Urteil des Bundesgerichts 1A.247/2000 vom 27. November 2000, E. 3a; TPF 2010 142 E. 2.1; TPF 2008 91 E. 3; Entscheid des Bundesstrafge- richts RR.2012.249 vom 13. Februar 2013, E. 4.2; ZIMMERMANN, a.a.O., N. 477–482).</w:t>
      </w:r>
    </w:p>
    <w:p>
      <w:r>
        <w:rPr>
          <w:b/>
        </w:rPr>
        <w:t>E. 4.3</w:t>
      </w:r>
    </w:p>
    <w:p>
      <w:r>
        <w:t>Aus den Akten geht hervor, und unbestritten ist, dass die Beschwerdegeg- nerin dem Beschwerdeführer folgende Unterlagen zukommen liess: das Rechtshilfeersuchen der Staatsanwaltschaft Wien vom 29. Dezem- ber 2011, das Ergänzungsersuchen vom 27. Dezember 2012, die Eintre- tensverfügung vom 13. Februar 2012, die Editionsverfügung vom 12. Mai 2012, die Verfügungen vom 26. Juni, 21. September und 20. De- zember 2012 betreffend die Sperre des Kontos des Beschwerdeführers sowie die Verfügung vom 1. Mai 2013, womit die Beschwerdegegnerin die Kontosperre aufhob (act. 1 S. 3 f.; act. 1.4).</w:t>
      </w:r>
    </w:p>
    <w:p>
      <w:r>
        <w:t>Die Beschwerdegegnerin hält in ihrer Schlussverfügung unter anderem fest: "Die Analyse der Transaktionen hat ergeben, dass ein Teil von den an die D. AG überwiesenen Beträge (13. Mai 2004 ca. USD 15 Mio. und am 1. Dezember 2012 [recte 2004] ca. USD 7,2 Mio.) dem vorliegenden Konto USD 1,8 Mio. am 13. Mai 2004 und USD 1 Mio. am 2. Dezember 2004 gut- geschrieben wurden" (act. 1.1. S. 5). Als Belegstellen nennt sie die mass- geblichen Auszüge aus dem Konto des Beschwerdeführers, wonach sich zwei Überweisungen von USD 1.8 Mio. und 1.03 Mio. am 13. Mai und 2. Dezember 2004 von einem Konto N. auf das Konto des Beschwerdefüh- rers entnehmen lassen (Verfahrensakten pag. 0503-506 und 0513-516). Die Beschwerdegegnerin verweist ausserdem auf das Rechtshilfeersuchen vom 29. Dezember 2011, das zwei Zahlungen in der Höhe von USD 15.6 Mio. und 7.2 Mio. nennt, welche die B. GmbH gestützt auf ein am 29. De- zember 2003 abgeschlossenes Consultancy Service Agreement und ein Amendment No. 2 to Consultancy and Service Agreement vom</w:t>
      </w:r>
    </w:p>
    <w:p>
      <w:r>
        <w:rPr>
          <w:b/>
        </w:rPr>
        <w:t>E. 4.4</w:t>
      </w:r>
    </w:p>
    <w:p>
      <w:r>
        <w:t>Die potentielle Erheblichkeit der herauszugebenden Bankunterlagen sowie der Zusammenhang zwischen diesen und der in Österreich verfolgten Straftat ergibt sich ohne Weiteres bereits aus den Bankunterlagen selbst: Der Beschwerdeführer habe sich gegenüber der Bank als bis Mitte 2005 tä- tigen Repräsentanten bzw. General Manager der B. GmbH in Bukarest ausgewiesen und erklärt, er sei am Deal zwischen der rumänischen Regie- rung und der B. GmbH massgeblich beteiligt gewesen (Verfahrensakten pag. 0612, 0616). Zumindest die Überweisung von USD 1.03 Mio. soll denn auch aus dem "Software-Deal II (N.)" (vgl. Verfahrensakten pag. 0610) her- rühren (vgl. auch act. 1 S. 7). Das österreichische Strafverfahren richtet sich gegen Unternehmensverantwortliche der B. GmbH. Ihnen wird vorge- worfen, im Zusammenhang mit einem Softwarevertrag zwischen der B. GmbH und dem rumänischen Staat rund USD 45 Mio. zum Nachteil der B. GmbH veruntreut zu haben (vgl. supra lit. A). Es ist somit nicht aus- zuschliessen, dass die beiden aktenkundigen Überweisungen vom</w:t>
      </w:r>
    </w:p>
    <w:p>
      <w:r>
        <w:rPr>
          <w:b/>
        </w:rPr>
        <w:t>E. 9</w:t>
      </w:r>
    </w:p>
    <w:p>
      <w:r>
        <w:t>April 2004 an die D. AG getätigt habe (act. 12). Dass Teile dieser Gut- schriften am 13. Mai und 1. Dezember 2004 auf das Konto der D. AG und von dort auf Konten der I. Ltd., H. Ltd. und zugunsten des Kontos N. ge- flossen sind, wie in der Schlussverfügung ausgeführt wird, geht jedoch aus den dem Beschwerdeführer zur Einsicht gebrachten Akten nicht hervor. Ebensowenig ist diesen Akten zu entnehmen, dass M. einerseits Inhaber</w:t>
      </w:r>
    </w:p>
    <w:p>
      <w:r>
        <w:t>- 7 -</w:t>
      </w:r>
    </w:p>
    <w:p>
      <w:r>
        <w:t>des Kontos N. und andererseits zusammen mit K. und L. wirtschaftlich Be- rechtigter an der D. AG, der I. Ltd. und der H. Ltd. ist (vgl. Ausführungen in der Schlussverfügung, act. 1.1 S. 5 f.). Die Schlussverfügung enthält damit offensichtlich zusätzliche Informationen, die sich auf andere als dem Be- schwerdeführer zugestellte Akten abstützen. Insofern ist, rein formal, eine Verletzung des rechtlichen Gehörs durch die Beschwerdegegnerin festzu- stellen. Die dies belegenden Unterlagen hätten dem Beschwerdeführer grundsätzlich offengelegt werden oder die Beschwerdegegnerin hätte diese Ausführungen in der Schlussverfügung unterlassen müssen. Letzteres hät- te die Beschwerdegegnerin, wie nachstehend ausgeführt wird (E. 4.4), un- beschadet für den Verfahrensentscheid tatsächlich auch unterlassen kön- nen.</w:t>
      </w:r>
    </w:p>
    <w:p>
      <w:r>
        <w:rPr>
          <w:b/>
        </w:rPr>
        <w:t>E. 13</w:t>
      </w:r>
    </w:p>
    <w:p>
      <w:r>
        <w:t>Mai und 2. Dezember 2004 an den Beschwerdeführer als ehemaligen General Manager der B. GmbH in der Höhe von USD 1.03 Mio. und 1.8 Mio. aus den veruntreuten Geldern herrühren, zumal diese in zeitlichem Zusammenhang mit den am 29. Dezember 2003 und 9. April 2004 abge- schlossenen Beratungs- und Dienstleistungsverträgen zwischen der B. GmbH und der D. AG stehen. Dass der Beschwerdeführer im Rechtshil- feersuchen nicht genannt wird, steht der Leistung der Rechtshilfe nicht ent- gegen (vgl. Entscheide des Bundesstrafgerichts RR.2011.56 vom 2. De- zember 2011, E. 6.3, RR.2010.244 vom 14. September 2011, E. 4.3 und RR.2010.268-270 vom 21. Juni 2011, E. 8.3).</w:t>
      </w:r>
    </w:p>
    <w:p>
      <w:r>
        <w:t>Die zusätzlichen Sachverhaltsinformationen, die sich nicht aus den dem Beschwerdeführer zur Kenntnis gebrachten Akten ergeben, sondern offen- bar der Beschwerdegegnerin aus früheren Rechtshilfeverfahren bekannt</w:t>
      </w:r>
    </w:p>
    <w:p>
      <w:r>
        <w:t>- 8 -</w:t>
      </w:r>
    </w:p>
    <w:p>
      <w:r>
        <w:t>sind, sind mit anderen Worten für die Beurteilung der Gültigkeit der ange- ordneten Rechtshilfemassnahme zwar zusätzlich von Interesse, jedoch für den Entscheid in der Sache selbst nicht zwingend. Sie sind demzufolge ob- solet und hätten auch unterbleiben können. Insofern ist die festgestellte Verletzung des rechtlichen Gehörs für den vorliegenden Entscheid nicht re- levant, ihr kann jedoch bei der Bemessung der Gerichtsgebühr Rechnung getragen werden (E. 5).</w:t>
      </w:r>
    </w:p>
    <w:p>
      <w:r>
        <w:t>Weitere Rechtshilfehindernisse werden weder genannt, noch sind solche ersichtlich. Die Beschwerde ist daher abzuweisen.</w:t>
      </w:r>
    </w:p>
    <w:p>
      <w:r>
        <w:t>5. Bei diesem Ausgang des Verfahrens wird der Beschwerdeführer kosten- 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Unter Berücksichtigung aller Umstände (vgl. insbesondere oben 4.4) ist die Gerichtsgebühr vorliegend auf Fr. 4'500.-- festzusetzen und dem Beschwerdeführer unter Anrechnung des entspre- chenden Betrags am geleisteten Kostenvorschuss von Fr. 5'000.-- aufzuer- legen (Art. 5 und 8 Abs. 3 BStKR). Die Bundesstrafgerichtskasse ist anzu- weisen, dem Beschwerdeführer den Restbetrag von Fr. 500.-- zurückzuer- statten.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