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RR.2014.138 vom 9. Oktober 2014</w:t>
      </w:r>
    </w:p>
    <w:p>
      <w:r>
        <w:t>Bundesstrafgericht, 2014-10-09, FR</w:t>
      </w:r>
    </w:p>
    <w:p>
      <w:r>
        <w:rPr>
          <w:b/>
        </w:rPr>
        <w:t xml:space="preserve">Quelle: </w:t>
      </w:r>
      <w:r>
        <w:t>https://mcp.opencaselaw.ch/entscheid/bstger_RR.2014.138</w:t>
      </w:r>
    </w:p>
    <w:p>
      <w:r>
        <w:t>FR: TPF RR.2014.138 du 9 octobre 2014</w:t>
      </w:r>
    </w:p>
    <w:p>
      <w:r>
        <w:t>IT: TPF RR.2014.138 del 9 ottobre 2014</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w:t>
      </w:r>
    </w:p>
    <w:p>
      <w:r>
        <w:t>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est de 30 jours dès la communication écrite de celle-ci (art. 80k EIMP). Déposé à un bureau de</w:t>
      </w:r>
    </w:p>
    <w:p>
      <w:r>
        <w:t>- 4 -</w:t>
      </w:r>
    </w:p>
    <w:p>
      <w:r>
        <w:t>poste suisse le 14 avril 2014, le recours contre la décision de clôture du 12 mars 2014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w:t>
      </w:r>
    </w:p>
    <w:p>
      <w:r>
        <w:t>En l'espèce, A., en qualité de prévenu dans l'Etat requérant, a été entendue en Suisse dans le cadre d'une mesure d'entraide sur les faits de la cause pénale menée en France et son recours est dirigé contre la transmission du procès-verbal de son audition. Elle dispose ainsi de la qualité pour recourir contre dite décision (arrêts du Tribunal pénal fédéral RR.2013.160-161 du 6 février 2014, consid. 2.2.3 et RR.2009.243 du 15 avril 2010, consid. 2.2).</w:t>
      </w:r>
    </w:p>
    <w:p>
      <w:r>
        <w:rPr>
          <w:b/>
        </w:rPr>
        <w:t>E. 1.5</w:t>
      </w:r>
    </w:p>
    <w:p>
      <w:r>
        <w:t>Le recours est recevable, il y a lieu d'entrer en matière.</w:t>
      </w:r>
    </w:p>
    <w:p>
      <w:r>
        <w:rPr>
          <w:b/>
        </w:rPr>
        <w:t>E. 2</w:t>
      </w:r>
    </w:p>
    <w:p>
      <w:r>
        <w:t>Dans un premier grief sur le fond, la recourante fait valoir une motivation insuffisante de la demande d'entraide. Selon la recourante, les exigences de l'art. 28 al. 3 let. b EIMP ont été violées vu que la demande d'entraide du 31 octobre 2013 ne contient pas le texte des dispositions légales françaises applicables, mais seulement une énumération imprécise des dispositions de la loi du 29 juillet 1881 sur la liberté de la presse. En outre, on ne trouverait aucune motivation permettant d'établir en quoi l'une ou l'autre disposition du droit français pourrait correspondre, sous l'angle de l'exigence de la double incrimination, au délit réprimé par l'art. 173 du Code pénal suisse (CP). Dans la demande d'entraide, on ne trouverait également aucune motivation permettant de comprendre en quoi les faits exposés pourraient bien être constitutifs d'une diffamation au sens de l'art. 173 CP (act. 1 p. 3).</w:t>
      </w:r>
    </w:p>
    <w:p>
      <w:r>
        <w:rPr>
          <w:b/>
        </w:rPr>
        <w:t>E. 2.1</w:t>
      </w:r>
    </w:p>
    <w:p>
      <w:r>
        <w:t>Aux termes de l'art. 14 CEEJ en l'occurrence applicable,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w:t>
      </w:r>
    </w:p>
    <w:p>
      <w:r>
        <w:t>- 5 -</w:t>
      </w:r>
    </w:p>
    <w:p>
      <w:r>
        <w:t>respecté (ATF 118 Ib 111 consid. 5b et les arrêts cités). L'art. 28 al. 2 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p. 88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2.2</w:t>
      </w:r>
    </w:p>
    <w:p>
      <w:r>
        <w:t>En l'espèce, la demande d'entraide fait expressément référence au chef de diffamation publique envers un particulier selon les art. 23 § 1, 29 § 1, 32 § 1 de la loi du 29 juillet 1881 (v. act. 1.2, p. 1). L'entier des faits reprochés à la recourante sont décrits d'une façon très détaillée aux pages 3 à 5 de la demande d'entraide. Tous les propos incriminés publiés dans l'article intitulé (…) sont transcrits à la lettre. Toutes ces indications étaient suffisantes pour permettre aux autorités suisses d'entamer la procédure d'entraide. La demande indique en effet l'autorité dont elle émane, son objet, son but, l'identité de la personne en cause ainsi que l'inculpation et un exposé suffisant des faits. La demande d'entraide indique aussi que B. a déposé plainte avec constitution de partie civile le 20 mars 2013 du chef de diffamation publique envers un particulier (v. supra let. A). Les investigations entreprises à la suite de cette plainte ont permis d'identifier l'auteur de l'article, Madame D., résidant en France, et la recourante comme étant la présidente de l'Association C. qui gère le site de ladite Association qui a diffusé le texte dénoncé. Dans son ordonnance de clôture du 12 mars 2014, le MP-NE fait référence au délit de diffamation selon l'art. 173 du Code pénal suisse (v. act. 4.1) comme infraction correspondant à la diffamation publique envers un particulier selon le droit français. En effet, les indications des autorités françaises ont permis à l'autorité requise de s'assurer que l'acte pour lequel l'entraide est demandée est punissable selon le droit français et le droit suisse. Contrairement à ce qui a été prétendu par la recourante il n'y a pas eu</w:t>
      </w:r>
    </w:p>
    <w:p>
      <w:r>
        <w:t>- 6 -</w:t>
      </w:r>
    </w:p>
    <w:p>
      <w:r>
        <w:t>violation du principe de la double incrimination. Le fait que les dispositions légales françaises invoquées par l'autorité requérante figurent dans une loi intitulée « Sur la liberté de la presse » n'est pas le signe, comme prétendu par la recourante (v. act. 1, p. 3 ss), qu'il s'agit d'une législation d'exception, au contraire il est normal qu'une loi sur la liberté de la presse prévoie des limites à l'usage même de cette liberté (v. à ce propos art. 10 ch. 2 CEDH). C'est donc à tort que la recourante soutient que la demande litigieuse est affectée d'un défaut manifestement grave selon l'art. 2 let. d EIMP (v. act. 1, p. 4).</w:t>
      </w:r>
    </w:p>
    <w:p>
      <w:r>
        <w:rPr>
          <w:b/>
        </w:rPr>
        <w:t>E. 3</w:t>
      </w:r>
    </w:p>
    <w:p>
      <w:r>
        <w:t>Selon la recourante, il y aurait une stratégie d'harcèlement judiciaire envers elle et d'autres collaborateurs de l'Association C. (act. 1, p. 4). A. serait poursuivie en raison de ses opinions politiques et en tout état de cause, le contexte qui entoure la totalité des publications diffusées sur le site en question serait celui d'un combat politique pour l'identité de la France et pour une certaine conception de la laïcité que l'Association C. entendrait préserver et défendre. Ce serait donc à l'aune d'un caractère politique prépondérant au sens de l'art. 3 al. 1 EIMP que la demande d'entraide litigieuse devrait être appréciée dès le départ (act. 1, p. 5).</w:t>
      </w:r>
    </w:p>
    <w:p>
      <w:r>
        <w:rPr>
          <w:b/>
        </w:rPr>
        <w:t>E. 3.1</w:t>
      </w:r>
    </w:p>
    <w:p>
      <w:r>
        <w:t>Les infractions reprochées à la recourante ne sont nullement des délits politiques et la recourante n'allègue rien qui puisse faire redouter une intervention ou une influence du pouvoir politique dans le cas particulier. La liberté de la presse est soumise en France comme en Suisse à des limitations admises par l'art. 10 ch. 2 CEDH. 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Selon la doctrine et la jurisprudence, le respect des autres est une condition essentielle d'une vie sociale harmonieuse (ATF 117 IV 28 consid. 2c; CORBOZ, Les infractions en droit suisse, vol. I, 3e éd., Berne 2010, p. 580). C'est pour cela que la liberté d'expression est limitée par l'interdiction de la diffamation. Le droit ou le devoir de parler doit en principe être exercé dans le respect de l'honneur d'autrui (CORBOZ, op. cit., p. 605). Le journaliste ne jouit d'aucun privilège lorsqu'il porte atteinte à l'honneur d'autrui par la voie de la presse (ATF 131 IV 160 consid. 3.3.2; 118 IV 153 consid. 4b; 117 IV 27 consid. 2c p. 28; 106 IV 161 consid. 3a; 105 IV 114 consid. 2a; 104 IV 11 consid. 1c; 80 IV 159 consid. 2 p. 165). L'interprétation des éléments constitutifs d'une infraction ne saurait donc être différente du fait que la diffamation est</w:t>
      </w:r>
    </w:p>
    <w:p>
      <w:r>
        <w:t>- 7 -</w:t>
      </w:r>
    </w:p>
    <w:p>
      <w:r>
        <w:t>commise par la voie de la presse (ATF 117 IV 27 consid. 2c p. 29; 104 IV 11 consid. 1c p. 14; CORBOZ, op. cit., p. 606). Les mêmes règles sont valables aussi en France (v. PELLETIER/ PERFETTI, Code pénal, 25e éd., Paris 2013, annexe 47, p. 1720). La Chambre criminelle de la Cour de cassation relève ainsi que la loi du 29 juillet 1881 soumet l'exercice de la liberté de la presse à des restrictions constituant des mesures nécessaires à la protection de la réputation et des droits d'autrui au sens de l'art. 10 CEDH (Cass. crim., 10 février 1987, JurisClasseur Périodique/Semaine juridique 87, IV, 130). La France fait partie de la CEDH depuis 1974 et, selon la jurisprudence en matière d'extradition, fait partie de la catégorie des Etats à l'égard desquels il n'y a en principe pas de doute à avoir quand au respect du standard de protection minimale des droits de la personne poursuivie (v. ATF 135 I 191 consid. 2.3; 134 IV 156 consid. 6.7; arrêt du Tribunal fédéral 1C_190/2013 du 19 février 2013, consid. 3; arrêts du Tribunal pénal fédéral RR.2013.186 du 22 août 2013, consid. 2.2 et RR.2013.42 du 7 mai 2013, consid. 3.2). La recourante n'apporte à cet égard aucun élément susceptible de remettre en cause la règle selon laquelle la Suisse accorde sa confiance aux Etats requérants qui font partie de ce groupe de pays. Son argumentation se résume en effet à la seule allégation de faits aucunement étayés, lesquels se révèlent au demeurant étrangers aux compétences du juge de l'entraide. Pareil constat scelle à lui seul le sort du grief.</w:t>
      </w:r>
    </w:p>
    <w:p>
      <w:r>
        <w:rPr>
          <w:b/>
        </w:rPr>
        <w:t>E. 4</w:t>
      </w:r>
    </w:p>
    <w:p>
      <w:r>
        <w:t>Dans un dernier grief, presque dépourvu d'argumentation, la recourante invoque l'application de l'art. 4 EIMP en soutenant qu'il s'agit d'un cas de peu d'importance (act. 1, p. 5). Elle oublie à ce propos que l'art. 32 de la loi du 29 juillet 1881 prévoit que la diffamation commise envers les particuliers sera punie d'une amende de EUR 12'000.--. Les mêmes faits sont punissables en Suisse d'une peine pécuniaire de 180 jours-amende au plus (v. art. 173 ch. 1 al. 3 CP). Selon l'art. 1 ch. let. b de l'Accord bilatéral avec la France (v. supra consid. 1.1) aux procédures visant des faits que la loi de l'un des deux Etats réprime d'une amende exclusivement, la CEEJ s'applique s'il est possible, comme c'est manifestement le cas ici, de porter l'affaire devant un tribunal compétent en matière pénale. En tout cas, comme le souligne la doctrine, le mépris d'autrui, qui engendre la souffrance et semble appeler à la riposte, est un facteur de perturbation, ce qui explique qu'il soit réprimé pénalement. D'un point de vue conceptuel, le droit à l'honneur est l'un des droits de la personnalité et il constitue un bien juridiquement protégé; l'atteinte à ce droit absolu est un acte illicite susceptible d'entraîner des conséquences civiles et pénales (CORBOZ, op. cit., p. 580 ss). Les faits reprochés à la recourante ne peuvent donc pas</w:t>
      </w:r>
    </w:p>
    <w:p>
      <w:r>
        <w:t>- 8 -</w:t>
      </w:r>
    </w:p>
    <w:p>
      <w:r>
        <w:t>être définis de cas bagatelles selon l'art. 4 EIMP, qui est un cas d'application du principe de la proportionnalité (art. 5 al. 2 Cst.). Cette disposition ne vise en effet que les cas qui présentent une disproportion par rapport aux mesures à prendre par l'autorité (Moreillon [édit], Commentaire romand, Entraide internationale en matière pénale, Bâle 2004, n° 1 ad art. 4 EIMP).</w:t>
      </w:r>
    </w:p>
    <w:p>
      <w:r>
        <w:rPr>
          <w:b/>
        </w:rPr>
        <w:t>E. 5</w:t>
      </w:r>
    </w:p>
    <w:p>
      <w:r>
        <w:t>Il résulte de ce qui précède que le recours, manifestement mal fondé, doit être rejeté.</w:t>
      </w:r>
    </w:p>
    <w:p>
      <w:r>
        <w:rPr>
          <w:b/>
        </w:rPr>
        <w:t>E. 6</w:t>
      </w:r>
    </w:p>
    <w:p>
      <w:r>
        <w:t>Les frais de procédure, comprenant l'émolument d'arrêté, les émoluments de chancellerie et les débours, sont mis à la charge de la recourante, qui succombe (art. 63 al. 1 de la loi fédérale sur la procédure administrative [PA; RS 172.021], applicable par renvoi de l’art. 39 al. 2 let. b LOAP). L'émolument, calculé conformément à l'art. 5 du règlement du 31 août 2010 sur les frais, émoluments, dépens et indemnités de la procédure pénale fédérale (RFPPF; RS 173.713.162; v. art. 63 al. 5 PA; art. 73 al. 2 LOAP et</w:t>
      </w:r>
    </w:p>
    <w:p>
      <w:r>
        <w:rPr>
          <w:b/>
        </w:rPr>
        <w:t>E. 8</w:t>
      </w:r>
    </w:p>
    <w:p>
      <w:r>
        <w:t>al. 3 RFPPF) sera fixé à CHF 5'000.--,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