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RR.2014.13 vom 17. Februar 2014</w:t>
      </w:r>
    </w:p>
    <w:p>
      <w:r>
        <w:t>Bundesstrafgericht, 2014-02-17, FR</w:t>
      </w:r>
    </w:p>
    <w:p>
      <w:r>
        <w:rPr>
          <w:b/>
        </w:rPr>
        <w:t xml:space="preserve">Quelle: </w:t>
      </w:r>
      <w:r>
        <w:t>https://mcp.opencaselaw.ch/entscheid/bstger_RR.2014.13</w:t>
      </w:r>
    </w:p>
    <w:p>
      <w:r>
        <w:t>FR: TPF RR.2014.13 du 17 février 2014</w:t>
      </w:r>
    </w:p>
    <w:p>
      <w:r>
        <w:t>IT: TPF RR.2014.13 del 17 febbraio 2014</w:t>
      </w:r>
    </w:p>
    <w:p>
      <w:pPr>
        <w:pStyle w:val="Heading2"/>
      </w:pPr>
      <w:r>
        <w:t>Regeste</w:t>
      </w:r>
    </w:p>
    <w:p>
      <w:r>
        <w:t>Entraide judiciaire internationale en matière pénale au Bailliage de Guernesey. Remise de moyens de preuve (art. 74 EIMP).</w:t>
      </w:r>
    </w:p>
    <w:p>
      <w:pPr>
        <w:pStyle w:val="Heading2"/>
      </w:pPr>
      <w:r>
        <w:t>Erwägungen</w:t>
      </w:r>
    </w:p>
    <w:p>
      <w:r>
        <w:rPr>
          <w:b/>
        </w:rPr>
        <w:t>E. 1.1</w:t>
      </w:r>
    </w:p>
    <w:p>
      <w:r>
        <w:t>L'entraide judiciaire entre le Bailliage de Guernesey et la Confédération suisse est prioritairement régie par la Convention européenne d’entraide</w:t>
      </w:r>
    </w:p>
    <w:p>
      <w:r>
        <w:t>- 4 -</w:t>
      </w:r>
    </w:p>
    <w:p>
      <w:r>
        <w:t>judiciaire en matière pénale (CEEJ; RS 0.351.1), entrée en vigueur pour la Suisse le 20 mars 1967 et pour le Bailliage de Guernesey le 20 janvier 2003. S’agissant d’une demande d’entraide présentée notamment pour la répression du blanchiment d’argent, entre également en considération la Convention relative au blanchiment, au dépistage, à la saisie et à la confiscation des produits du crime (CBI; RS 0.311.53), entrée en vigueur le 1er septembre 1993 pour la Suisse et le 1er janvier 2003 pour le Bailliage de Guernesey. La loi fédérale sur l’entraide internationale en matière pénale (EIMP; RS 351.1) et son ordonnance d’exécution (OEIMP; RS 351.11) s’appliquent toutefois aux questions non réglées, explicitement ou implicitement, par le traité et lorsqu’elles sont plus favorables à l’entraide (ATF 137 IV 33 consid. 2.2.2; 136 IV 82 consid. 3.1; 124 II 180 consid. 1.3; 129 II 462 consid. 1.1; arrêt du Tribunal pénal fédéral RR.2010.9 du 15 avril 2010, consid. 1.3). L’application de la norme la plus favorable doit avoir lieu dans le respect des droits fondamentaux (ATF 135 IV 212 consid. 2.3; 123 II 595 consid. 7c).</w:t>
      </w:r>
    </w:p>
    <w:p>
      <w:r>
        <w:rPr>
          <w:b/>
        </w:rPr>
        <w:t>E. 1.2</w:t>
      </w:r>
    </w:p>
    <w:p>
      <w:r>
        <w:t>La Cour des plaintes du Tribunal pénal fédéral est compétente pour connaître des recours dirigés contre les décisions de clôture de la procédure d’entraide rendues par les autorités fédérales d’exécution et, conjointement, contre les décisions incidentes (art. 25 al. 1 et 80e al. 1 EIMP, mis en relation avec l'art. 37 al. 2 let. a ch. 1 de la loi fédérale sur l'organisation des autorités pénales de la Confédération [LOAP; RS 173.71] et l'art. 19 du règlement sur l'organisation du Tribunal pénal fédéral [ROTPF; RS 173.713.161]).</w:t>
      </w:r>
    </w:p>
    <w:p>
      <w:r>
        <w:rPr>
          <w:b/>
        </w:rPr>
        <w:t>E. 1.3</w:t>
      </w:r>
    </w:p>
    <w:p>
      <w:r>
        <w:t>Le délai de recours contre la décision de clôture est de 30 jours dès la communication écrite de celle-ci (art. 80k EIMP). Déposé à un bureau de poste suisse le 9 janvier 2014, le recours contre la décision de clôture notifiée le 10 décembre 2013 est intervenu en temps utile.</w:t>
      </w:r>
    </w:p>
    <w:p>
      <w:r>
        <w:rPr>
          <w:b/>
        </w:rPr>
        <w:t>E. 1.4.1</w:t>
      </w:r>
    </w:p>
    <w:p>
      <w:r>
        <w:t>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(v. ATF 137 IV 134 consid. 5 et 118 Ib 547 consid. 1d). En revanche, l’ayant droit économique d’un compte bancaire n’a pas la qualité pour recourir contre la transmission de pièces concernant ledit compte (ATF 122 II 130 consid. 2b).</w:t>
      </w:r>
    </w:p>
    <w:p>
      <w:r>
        <w:t>- 5 -</w:t>
      </w:r>
    </w:p>
    <w:p>
      <w:r>
        <w:t>Exceptionnellement, la qualité pour agir est reconnue, depuis une quinzaine d'années, à l'ayant droit d'une société titulaire de compte lorsque celle-ci a été dissoute et liquidée, sous réserve de l'abus de droit (ATF 123 II 153 consid. 2c et dd p. 157/158). Il appartient dans ce cas à l'ayant droit de former le recours en son nom propre et de prouver la liquidation, documents officiels à l'appui (arrêts du Tribunal fédéral 1A.10/2000 du 18 mai 2000, consid. 1e; 1A.131/1999 du 26 août 1999, consid. 3; 1A.236/1998 du 25 janvier 1999, consid. 1b/bb; arrêt du Tribunal pénal fédéral RR.2012.189 du 13 février 2013, consid. 2; MOREILLON/ DUPUIS/MAZOU, La pratique judiciaire du Tribunal pénal fédéral en 2012, JdT 2013 IV 110 ss, p. 171). Il faut en outre que l'acte de dissolution indique clairement l'ayant droit comme son bénéficiaire (arrêts du Tribunal fédéral 1C_183/2012 du 12 avril 2012, consid. 1.4; 1A.216/2001 du 21 mars 2002, consid. 1.3; 1A.84/1999 du 31 mai 1999, consid. 2c). La preuve peut également être apportée par le biais d'autres moyens (arrêt du Tribunal fédéral 1C_370/2012 du 3 octobre 2012, consid. 2.7; arrêt du Tribunal pénal fédéral RR.2012.252 du 7 juin 2013, consid. 2.2.1).</w:t>
      </w:r>
    </w:p>
    <w:p>
      <w:r>
        <w:rPr>
          <w:b/>
        </w:rPr>
        <w:t>E. 1.4.2</w:t>
      </w:r>
    </w:p>
    <w:p>
      <w:r>
        <w:t>En l'espèce, les comptes bancaires n° 1 et n° 2 ont été ouverts auprès de la banque F. au nom de la société A. Ltd. L'instruction de la cause a permis d'établir que ladite société a été dissoute et liquidée en date du 28 août 2008, soit cinq ans et cinq mois avant que le présent recours ne soit formé. Le recours a été formé par A. Ltd, comme cela ressort tant de sa page de garde que du corps du texte. A l'appui du recours, une procuration signée par C. en faveur de A. Ltd a été fournie. De plus, les conseils de A. Ltd ont indiqué dans leur courrier du 6 février 2014 que "[l]es deux sociétés (sic) ont été radiées bien avant le dépôt des demandes d'entraide judiciaire. A ce titre, et conformément à la jurisprudence, dans la mesure où la dissolution n'est pas consécutive ou n'est pas en relation avec la demande d'entraide judiciaire, et que lesdites sociétés ne sont plus capables d'agir pour elles-mêmes, seul l'ayant-droit économique a la qualité pour agir […]. […] Je confirme d'autre part que la procuration, produite à l'appui du recours du 9 janvier 2014, contient précisément la signature de C., ayant droit économique de ces deux sociétés (sic)" (act. 6). Il faut en déduire que le recours a été interjeté par la société A. Ltd et non pas par l'ayant droit économique en son nom propre.</w:t>
      </w:r>
    </w:p>
    <w:p>
      <w:r>
        <w:rPr>
          <w:b/>
        </w:rPr>
        <w:t>E. 1.4.3</w:t>
      </w:r>
    </w:p>
    <w:p>
      <w:r>
        <w:t>A défaut d'avoir été déposé par une personne légitimée à recourir, le recours doit être déclaré irrecevable.</w:t>
      </w:r>
    </w:p>
    <w:p>
      <w:r>
        <w:t>- 6 -</w:t>
      </w:r>
    </w:p>
    <w:p>
      <w:r>
        <w:rPr>
          <w:b/>
        </w:rPr>
        <w:t>E. 2</w:t>
      </w:r>
    </w:p>
    <w:p>
      <w:r>
        <w:t>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La recourante supportera ainsi les frais du présent arrêt, lesquels se limitent à un émolument fixé à CHF 3'000.-- (art. 73 al. 2 LOAP et art. 8 al. 3 du règlement du Tribunal pénal fédéral sur les frais, émoluments, dépens et indemnités de la procédure pénale fédérale du 31 août 2010 [RFPPF; RS 173.713.162] et art. 63 al. 5 PA), couvert par l'avance de frais déjà versée.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