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RR.2014.120 vom 22. Mai 2014</w:t>
      </w:r>
    </w:p>
    <w:p>
      <w:r>
        <w:t>Bundesstrafgericht, 2014-05-22, FR</w:t>
      </w:r>
    </w:p>
    <w:p>
      <w:r>
        <w:rPr>
          <w:b/>
        </w:rPr>
        <w:t xml:space="preserve">Quelle: </w:t>
      </w:r>
      <w:r>
        <w:t>https://mcp.opencaselaw.ch/entscheid/bstger_RR.2014.120</w:t>
      </w:r>
    </w:p>
    <w:p>
      <w:r>
        <w:t>FR: TPF RR.2014.120 du 22 mai 2014</w:t>
      </w:r>
    </w:p>
    <w:p>
      <w:r>
        <w:t>IT: TPF RR.2014.120 del 22 maggio 2014</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w:t>
      </w:r>
    </w:p>
    <w:p>
      <w:r>
        <w:t>- 4 -</w:t>
      </w:r>
    </w:p>
    <w:p>
      <w:r>
        <w:t>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leur qualité de titulaires des comptes n° 1, respectivement n° 2, A. Ltd/Guernesey et A. Ltd/Iles Vierges Britanniques disposent de la qualité pour recourir contre la transmission de la documentation bancaire relative à leurs comptes.</w:t>
      </w:r>
    </w:p>
    <w:p>
      <w:r>
        <w:rPr>
          <w:b/>
        </w:rPr>
        <w:t>E. 1.5</w:t>
      </w:r>
    </w:p>
    <w:p>
      <w:r>
        <w:t>Le recours est recevable.</w:t>
      </w:r>
    </w:p>
    <w:p>
      <w:r>
        <w:rPr>
          <w:b/>
        </w:rPr>
        <w:t>E. 2</w:t>
      </w:r>
    </w:p>
    <w:p>
      <w:r>
        <w:t>Les recourantes se prévalent d'une violation de la procédure d'entraide. D'après elles, les autorités américaines auraient, en juillet 2013, présenté un complément à la demande d'entraide, qui aurait été retranscrit dans le dossier de la procédure comme "note au dossier" et n'aurait pas été exécuté selon les règles prescrites par l'art. 29 TEJUS. Contrairement à l'argumentation des recourantes, l'intervention des représentants des autorités américaines en date du 12 juillet 2013 (note au dossier, act. 7.3) lors de la consultation du dossier constitue un simple rappel des demandes formulées dans la commission rogatoire du 23 mars 2012, ne devant en aucun cas être considéré comme une nouvelle requête. Partant, celle-ci n'avait pas à être traitée comme telle, l'art. 29 TEJUS ne trouvant pas application. Le grief doit, ainsi, être rejeté.</w:t>
      </w:r>
    </w:p>
    <w:p>
      <w:r>
        <w:rPr>
          <w:b/>
        </w:rPr>
        <w:t>E. 3</w:t>
      </w:r>
    </w:p>
    <w:p>
      <w:r>
        <w:t>D'après les recourantes, la consultation du dossier de l'entraide par les représentants de l'Etat requérant et la manière dont celle-ci s'est déroulée</w:t>
      </w:r>
    </w:p>
    <w:p>
      <w:r>
        <w:t>- 5 -</w:t>
      </w:r>
    </w:p>
    <w:p>
      <w:r>
        <w:t>serait contraire aux règles applicables en matière d'entraide. En particulier, les recourantes n'auraient eu aucun contrôle sur l'étendue des documents mis à disposition des fonctionnaires étrangers.</w:t>
      </w:r>
    </w:p>
    <w:p>
      <w:r>
        <w:rPr>
          <w:b/>
        </w:rPr>
        <w:t>E. 3.1</w:t>
      </w:r>
    </w:p>
    <w:p>
      <w:r>
        <w:t>Aux termes de l'art. 12 al. 3 let. b et c TEJUS, l'Etat requis consent à la présence de l'autorité requérante lorsque celle-ci facilite la procédure.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arrêts du Tribunal fédéral 1A.3/2007 du 11 janvier 2007, consid. 2.3 et 1A.217/2004 du 18 octobre 2004, consid. 2.6; ZIMMERMANN, La coopération judiciaire internationale en matière pénale, 3e éd., Berne 2009, n° 409). Il est de jurisprudence constante que l'interdiction d'utiliser les informations recueillies, de prendre des notes ou de faire des copies et d'accéder aux procès-verbaux d'audition constituent des garanties suffisantes (ATF 131 II 132 consid. 2.2; arrêt du Tribunal fédéral 1A.215/2006 du 7 novembre 2006, consid. 1.3; ég. ZIMMERMANN, op. cit., n° 409).</w:t>
      </w:r>
    </w:p>
    <w:p>
      <w:r>
        <w:rPr>
          <w:b/>
        </w:rPr>
        <w:t>E. 3.2</w:t>
      </w:r>
    </w:p>
    <w:p>
      <w:r>
        <w:t>Suite à la demande d’entraide formulée par les Etats-Unis en date du 23 mars 2012, l'OFJ a autorisé les représentants de l’autorité requérante à consulter le dossier de la procédure suisse afin de faciliter l'exécution de la demande d'entraide et de mieux cibler les pièces pertinentes pour ladite procédure (act. 7.2). Dans la mesure où plusieurs Etats ont présenté des commissions rogatoires à la Suisse dans le cadre des faits entourant les opérations effectuées par C. en rapport avec la société E., la consultation a eu lieu en même temps pour les représentants des différents Etats. A l'issue de la consultation, les représentants tant des Etats-Unis que de tous les autres Etats requérants ont signé une déclaration de garantie quant à la non utilisation prématurée des informations et ils ont remis aux autorités suisses toutes les notes manuscrites prises lors de leur séjour. Il ressort également du procès-verbal de consultation du 12 juillet 2013 établi par l'autorité d'exécution (Ministère public de la Confédération) que le procureur fédéral en charge de l'exécution de l'entraide s'est assuré</w:t>
      </w:r>
    </w:p>
    <w:p>
      <w:r>
        <w:t>- 6 -</w:t>
      </w:r>
    </w:p>
    <w:p>
      <w:r>
        <w:t>qu'aucune copie ni photocopie n'a été prise lors de la consultation (v. act. 7.3). Conforme à la jurisprudence susmentionnée, cette pratique n'a pas à être remise en question.</w:t>
      </w:r>
    </w:p>
    <w:p>
      <w:r>
        <w:rPr>
          <w:b/>
        </w:rPr>
        <w:t>E. 3.3</w:t>
      </w:r>
    </w:p>
    <w:p>
      <w:r>
        <w:t>Le grief doit être rejeté.</w:t>
      </w:r>
    </w:p>
    <w:p>
      <w:r>
        <w:rPr>
          <w:b/>
        </w:rPr>
        <w:t>E. 4</w:t>
      </w:r>
    </w:p>
    <w:p>
      <w:r>
        <w:t>Finalement, A. Ltd/Guernesey et A. Ltd/Iles Vierges Britanniques invoquent une violation du principe ne bis in idem. Elles se prévalent de l'abandon des poursuites contre C. au Royaume-Uni du chef de corruption d'agents publics étrangers qui aurait pour conséquence de réduire à néant le bien- fondé de la demande d'entraide judiciaire présentée par les Etats-Unis. Quel que soit l'état de la procédure ouverte au Royaume-Uni à l'encontre de C., celle-ci n'a pas à être prise en compte dans le cadre de la présente procédure d'entraide. Les recourantes perdent en effet de vue que ce n'est pas cet Etat qui requiert l'entraide, mais les Etats-Unis. Or, ce dernier Etat n'a guère retiré sa demande d'entraide. Il est de jurisprudence constante que l'entraide doit être accordée tant que la demande n'est pas retirée par l'Etat requérant et cela quand bien même il existerait des éléments susceptibles de mettre hors de cause le recourant dans l'Etat requérant. Il convient finalement de relever que, dans le cas d'espèce, la procédure aux Etats-Unis est ouverte à l'encontre non seulement de C. mais également de "related entities" et de B. Inc. et "its officers, employees, subsidiaries, agents ans affiliates" (commission rogatoire, act. 7.1, p. 1), du chef de blanchiment d'argent, en sus de celui de corruption. Par conséquent, l'on ne saurait tenir compte de l'argument des recourantes. Le grief doit ainsi être rejeté.</w:t>
      </w:r>
    </w:p>
    <w:p>
      <w:r>
        <w:rPr>
          <w:b/>
        </w:rPr>
        <w:t>E. 5</w:t>
      </w:r>
    </w:p>
    <w:p>
      <w:r>
        <w:t>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qui succombent supporteront les frais du présent arrêt, lesquels se limitent à un émolument fixé à CHF 5'000.-- (art. 73 al. 2 LOAP et art. 8 al. 3 du règlement du Tribunal pénal fédéral sur les frais, émoluments, dépens et indemnités de la procédure pénale</w:t>
      </w:r>
    </w:p>
    <w:p>
      <w:r>
        <w:t>- 7 -</w:t>
      </w:r>
    </w:p>
    <w:p>
      <w:r>
        <w:t>fédérale du 31 août 2010 [RFPPF;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