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RR.2014.12 vom 17. Februar 2014</w:t>
      </w:r>
    </w:p>
    <w:p>
      <w:r>
        <w:t>Bundesstrafgericht, 2014-02-17, FR</w:t>
      </w:r>
    </w:p>
    <w:p>
      <w:r>
        <w:rPr>
          <w:b/>
        </w:rPr>
        <w:t xml:space="preserve">Quelle: </w:t>
      </w:r>
      <w:r>
        <w:t>https://mcp.opencaselaw.ch/entscheid/bstger_RR.2014.12</w:t>
      </w:r>
    </w:p>
    <w:p>
      <w:r>
        <w:t>FR: TPF RR.2014.12 du 17 février 2014</w:t>
      </w:r>
    </w:p>
    <w:p>
      <w:r>
        <w:t>IT: TPF RR.2014.12 del 17 febbraio 2014</w:t>
      </w:r>
    </w:p>
    <w:p>
      <w:pPr>
        <w:pStyle w:val="Heading2"/>
      </w:pPr>
      <w:r>
        <w:t>Regeste</w:t>
      </w:r>
    </w:p>
    <w:p>
      <w:r>
        <w:t>Entraide judiciaire internationale en matière pénale au Bailliage de Guernesey. Remise de moyens de preuve (art. 74 EIMP).</w:t>
      </w:r>
    </w:p>
    <w:p>
      <w:pPr>
        <w:pStyle w:val="Heading2"/>
      </w:pPr>
      <w:r>
        <w:t>Erwägungen</w:t>
      </w:r>
    </w:p>
    <w:p>
      <w:r>
        <w:rPr>
          <w:b/>
        </w:rPr>
        <w:t>E. 1.1</w:t>
      </w:r>
    </w:p>
    <w:p>
      <w:r>
        <w:t>L'entraide judiciaire entre le Bailliage de Guernesey et la Confédération suisse est prioritairement régie par la Convention européenne d’entraide judiciaire en matière pénale (CEEJ; RS 0.351.1), entrée en vigueur pour la 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9 janvier 2014, le recours contre la décision de clôture notifiée le 10 décembre 2013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w:t>
      </w:r>
    </w:p>
    <w:p>
      <w:r>
        <w:t>- 5 -</w:t>
      </w:r>
    </w:p>
    <w:p>
      <w:r>
        <w:t>IV 134 consid. 5 et 118 Ib 547 consid. 1d). En revanche, l’ayant droit économique d’un compte bancaire n’a pas la qualité pour recourir contre la transmission de pièces concernant ledit compte (ATF 122 II 130 consid. 2b). Exceptionnellement, la qualité pour agir est reconnue, depuis une quinzaine d'années, à l'ayant droit d'une société titulaire de compte lorsque celle-ci a été dissoute et liquidée, sous réserve de l'abus de droit (ATF 123 II 153 consid. 2c et dd p. 157/158).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 DUPUIS/MAZOU,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 du Tribunal pénal fédéral RR.2012.252 du 7 juin 2013, consid. 2.2.1).</w:t>
      </w:r>
    </w:p>
    <w:p>
      <w:r>
        <w:rPr>
          <w:b/>
        </w:rPr>
        <w:t>E. 1.4.2</w:t>
      </w:r>
    </w:p>
    <w:p>
      <w:r>
        <w:t>En l'espèce, le compte bancaire n° 1 a été ouvert auprès de la banque F. au nom de la société A. SA. L'instruction de la cause a permis d'établir que ladite société a été dissoute en date du 29 janvier 2009. Sa liquidation étant terminée, A. SA a été radiée du registre du commerce du canton de Vaud en date du 4 mai 2011, soit deux ans et huit mois avant que le présent recours ne soit formé. Le recours a été formé par A. SA, comme cela ressort tant de sa page de garde que du corps du texte. A l'appui du recours, une procuration signée par C. en faveur de A. SA a été fournie. De plus, les conseils de A. SA ont indiqué dans leur courrier du 6 février 2014 qu'ils "agiss[ent] pour le compte de la société A. SA liquidée, domiciliée à Y. en Suisse, (…)". Ils ont ajouté encore que "[l]a liquidation de A. SA ayant eu lieu avant le dépôt des demandes d'entraide judiciaire, seul l'ayant-droit économique a la qualité pour interjeter recours. A ce titre, la procuration déposée à l'appui du recours du 9 janvier 2014 était au nom de C. avec sa signature. Elle est donc valable" (act. 6). Il faut en déduire que le recours a été interjeté par la société A. SA et non pas par l'ayant droit économique en son nom propre.</w:t>
      </w:r>
    </w:p>
    <w:p>
      <w:r>
        <w:t>- 6 -</w:t>
      </w:r>
    </w:p>
    <w:p>
      <w:r>
        <w:rPr>
          <w:b/>
        </w:rPr>
        <w:t>E. 1.4.3</w:t>
      </w:r>
    </w:p>
    <w:p>
      <w:r>
        <w:t>A défaut d'avoir été déposé par une personne légitimée à recourir, le recours doit être déclaré irrecevable.</w:t>
      </w:r>
    </w:p>
    <w:p>
      <w:r>
        <w:rPr>
          <w:b/>
        </w:rPr>
        <w:t>E. 2</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3'000.-- (art. 73 al. 2 LOAP et art. 8 al. 3 du règlement du Tribunal pénal fédéral sur les frais, émoluments, dépens et indemnités de la procédure pénale fédérale du 31 août 2010 [RFPPF; RS 173.713.162] et art. 63 al. 5 PA), couvert par l'avance de frais déjà versée.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