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RR.2014.119 vom 23. Mai 2014</w:t>
      </w:r>
    </w:p>
    <w:p>
      <w:r>
        <w:t>Bundesstrafgericht, 2014-05-23, DE</w:t>
      </w:r>
    </w:p>
    <w:p>
      <w:r>
        <w:rPr>
          <w:b/>
        </w:rPr>
        <w:t xml:space="preserve">Quelle: </w:t>
      </w:r>
      <w:r>
        <w:t>https://mcp.opencaselaw.ch/entscheid/bstger_RR.2014.119</w:t>
      </w:r>
    </w:p>
    <w:p>
      <w:r>
        <w:t>FR: TPF RR.2014.119 du 23 mai 2014</w:t>
      </w:r>
    </w:p>
    <w:p>
      <w:r>
        <w:t>IT: TPF RR.2014.119 del 23 maggio 2014</w:t>
      </w:r>
    </w:p>
    <w:p>
      <w:pPr>
        <w:pStyle w:val="Heading2"/>
      </w:pPr>
      <w:r>
        <w:t>Regeste</w:t>
      </w:r>
    </w:p>
    <w:p>
      <w:r>
        <w:t>Auslieferung an Ungarn. Auslieferungsentscheid (Art. 55 IRSG). Unentgeltliche Rechtspflege (Art. 65 Abs. 1 VwVG).</w:t>
      </w:r>
    </w:p>
    <w:p>
      <w:pPr>
        <w:pStyle w:val="Heading2"/>
      </w:pPr>
      <w:r>
        <w:t>Erwägungen</w:t>
      </w:r>
    </w:p>
    <w:p>
      <w:r>
        <w:rPr>
          <w:b/>
        </w:rPr>
        <w:t>E. 1.1</w:t>
      </w:r>
    </w:p>
    <w:p>
      <w:r>
        <w:t>Für den Auslieferungsverkehr zwischen der Schweiz und Ungarn sind pri- mär das Europäische Auslieferungsübereinkommen vom 13. Dezem-</w:t>
      </w:r>
    </w:p>
    <w:p>
      <w:r>
        <w:t>- 3 -</w:t>
      </w:r>
    </w:p>
    <w:p>
      <w:r>
        <w:t>ber 1957 (EAUe; SR 0.353.1) sowie das zu diesem Übereinkommen am 15. Oktober 1975 ergangene erste Zusatzprotokoll (1. ZP; SR 0.353.11) und das am 17. März 1978 ergangene zweite Zusatzprotokoll (2. ZP; SR 0.353.12) massgebend. Überdies sind für die Auslieferung zwischen der Schweiz und Ungarn die Bestimmungen der Art. 59 ff. des Überein- kommens vom 19. Juni 1990 zur Durchführung des Übereinkommens von Schengen vom 14. Juni 1985 (Schengener Durchführungsübereinkommen, SDÜ; ABl. L 239 vom 22. September 2000, S. 19-62) zwecks Ergänzung und Erleichterung der Anwendung des EAUe massgebend.</w:t>
      </w:r>
    </w:p>
    <w:p>
      <w:r>
        <w:rPr>
          <w:b/>
        </w:rPr>
        <w:t>E. 1.2</w:t>
      </w:r>
    </w:p>
    <w:p>
      <w:r>
        <w:t>Soweit die einleitend genannten Staatsverträge bestimmte Fragen nicht abschliessend regeln, findet auf das Auslieferungsverfahren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Auslieferung stellt (BGE 137 IV 33, E. 2.2.2; 136 IV 82, E. 3.1; 129 II 462 E. 1.1; 122 II 140 E. 2). Das Günstigkeitsprinzip gilt auch innerhalb der massgebenden internationalen Rechtsquellen (vgl. Art. 59 SDÜ). Vorbehal- ten bleibt die Wahrung der Menschenrechte (BGE 135 IV 212 E. 2.3; 123 II 595 E. 7c, je m.w.H.).</w:t>
      </w:r>
    </w:p>
    <w:p>
      <w:r>
        <w:rPr>
          <w:b/>
        </w:rPr>
        <w:t>E. 2.1</w:t>
      </w:r>
    </w:p>
    <w:p>
      <w:r>
        <w:t>Gegen Auslieferungsentscheide des BJ kann innert 30 Tagen seit der Er- öffnung des Entscheids bei der Beschwerdekammer des Bundesstrafge- richts Beschwerde geführt werden (Art. 55 Abs. 3 i.V.m. Art. 25 Abs. 1 IRSG; Art. 12 Abs. 1 IRSG i.V.m. Art. 50 Abs. 1 VwVG; Art. 37 Abs. 2 lit. a Ziff. 1 des Bundesgesetzes vom 19. März 2010 über die Orga- nisation der Strafbehörden des Bundes, StBOG; SR 173.71; Art. 19 Abs. 2 des Organisationsreglements vom 31. August 2010 für das Bundesstrafge- richt, BStGerOR; SR 173.713.161). Der Auslieferungsentscheid ist inner- halb der Beschwerdefrist angefochten worden, weshalb auf die Beschwer- de einzutreten ist.</w:t>
      </w:r>
    </w:p>
    <w:p>
      <w:r>
        <w:rPr>
          <w:b/>
        </w:rPr>
        <w:t>E. 2.2</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(Entscheide des Bundesstrafgerichts RR.2009.2 vom 9. Juli 2009, E. 2.4;</w:t>
      </w:r>
    </w:p>
    <w:p>
      <w:r>
        <w:t>- 4 -</w:t>
      </w:r>
    </w:p>
    <w:p>
      <w:r>
        <w:t>RR.2007.34 vom 29. März 2007, E.3, je m.w.H.). Nach der bundesgerichtli- chen Rechtsprechung muss sich die urteilende Instanz sodann nicht mit al- len Parteistandpunkten einlässlich auseinandersetzen und jedes einzelne Vorbringen ausdrücklich widerlegen. Sie kann sich auf die für ihren Ent- scheid wesentlichen Punkte beschränken. Es genügt, wenn die Behörde wenigstens kurz die Überlegungen nennt, von denen sie sich leiten liess und auf welche sich ihr Entscheid stützt (BGE 124 II 146 E. 2a; 122 IV 8 E. 2c; Urteil des Bundesgerichts 1A.59/2004 vom 16. Juli 2004, E. 5.2, m.w.H.).</w:t>
      </w:r>
    </w:p>
    <w:p>
      <w:r>
        <w:rPr>
          <w:b/>
        </w:rPr>
        <w:t>E. 3.1</w:t>
      </w:r>
    </w:p>
    <w:p>
      <w:r>
        <w:t>Der Beschwerdeführer macht in einem ersten Punkt geltend, als Angehöri- ger der Minderheit der Roma in Ungarn als Mensch zweiter Klasse behan- delt und strenger bestraft zu werden. Es sei zu erwarten, dass er in Ungarn Repressalien und Misshandlungen ausgeliefert sei und dass insbesondere die Polizei ihn mit unerlaubten Mitteln zu einem Geständnis zwingen werde. Ausserdem würden in ungarischen Gefängnissen regelmässig acht bis zwölf Personen auf engstem Raum zusammengepfercht, und Tätlichkeiten und Vergewaltigungen kämen häufig vor (act. 1 S. 3 und act. 9 S. 4 f.).</w:t>
      </w:r>
    </w:p>
    <w:p>
      <w:r>
        <w:rPr>
          <w:b/>
        </w:rPr>
        <w:t>E. 3.2</w:t>
      </w:r>
    </w:p>
    <w:p>
      <w:r>
        <w:t>Die Schweiz prüft die Auslieferungsvoraussetzungen des EAUe insbeson- dere auch im Lichte ihrer grundrechtlichen, völkerrechtlichen Verpflichtun- gen. Nach internationalem Völkerrecht sind Folter und jede andere Art grausamer, unmenschlicher oder erniedrigender Behandlung oder Bestra- fung verboten (Art. 10 Abs. 3 BV, Art. 3 EMRK, Art. 7 und Art. 10 Ziff. 1 UNO-Pakt II [SR 0.103.2]). Es handelt sich um massive Verstösse gegen die Menschenwürde, die den Betroffenen seelisch und meist auch körper- lich schwer treffen. Niemand darf in einen Staat ausgeliefert werden, in dem ihm Folter oder eine andere Art grausamer und unmenschlicher Be- handlung oder Bestrafung droht (Art. 25 Abs. 3 BV; BGE 133 IV 76 E. 4.1; 123 II 161 E. 6a, je m.w.H.). In Strafprozessen sind ausserdem die minima- len prozessualen Verfahrensrechte des Angeschuldigten zu gewährleisten (vgl. Art. 6 EMRK, Art. 14 UNO-Pakt II). Jeder Vertragsstaat der UNO- Folterschutzkonvention (SR 0.105) hat dafür Sorge zu tragen, dass Aussa- gen, die nachweislich durch Folter herbeigeführt worden sind, nicht als Be- weis in einem Verfahren verwendet werden, es sei denn gegen eine der Folter angeklagte Person als Beweis dafür, dass die Aussage gemacht wurde (Art. 15 UNO-Folterschutzkonvention). Nach konstanter Rechtspre- chung des Europäischen Gerichtshofs für Menschenrechte (EGMR) führt die Zulassung eines aufgrund von Misshandlungen, d.h. in Verletzung von Art. 3 EMRK erfolgten Geständnisses dazu, dass das Strafverfahren in sei-</w:t>
      </w:r>
    </w:p>
    <w:p>
      <w:r>
        <w:t>- 5 -</w:t>
      </w:r>
    </w:p>
    <w:p>
      <w:r>
        <w:t>ner Gesamtheit – unabhängig von der Bedeutung des Geständnisses für den Ausgang des Verfahrens – als unfair zu bezeichnen ist und somit ge- gen Art. 6 Abs. 1 EMRK verstösst (s. EGMR vom 18. November 2011 i.d.S. Stanimirovic gg. Serbien, Ziff. 113). Der im ausländischen Strafverfahren Beschuldigte muss glaubhaft machen, dass objektiv und ernsthaft eine schwerwiegende Verletzung der Menschenrechte im ersuchenden Staat zu befürchten ist (BGE 130 II 217 E. 8.1; BGE 129 II 268 E. 6.1, je m.w.H.). Abstrakte Behauptungen genügen nicht. Der Beschwerdeführer muss seine Vorbringen im Einzelnen präzisieren (Urteil des Bundesgerichts 1A.210/1999 vom 12. Dezember 1999, E. 8b)</w:t>
      </w:r>
    </w:p>
    <w:p>
      <w:r>
        <w:rPr>
          <w:b/>
        </w:rPr>
        <w:t>E. 3.3</w:t>
      </w:r>
    </w:p>
    <w:p>
      <w:r>
        <w:t>Die pauschalen Hinweise des Beschwerdeführers auf seine angebli- che Abstammung zur Ethnie der Roma sowie auf die Überbelegungen und Gewalttätigkeiten in den ungarischen Gefängnissen genügen nicht, um be- reits eine konkrete Diskriminierung aus rassistischen Gründen bzw. eine grausame, unmenschliche oder erniedrigende Behandlung des Beschwer- deführers anzunehmen. Es ist zwar nicht auszuschliessen, dass der unga- rische Staat – obwohl seit vielen Jahren Vertragsstaat des UNO-Pakt II, der UNO-Folterschutzkonvention und der EMRK – Roma-Angehörige in gewis- sen Bereichen diskriminiert. Dem Country Report on Human Rights Prac- tices 2013 [ID 270725] des US Department of State vom 27. Februar 2014 (verfügbar auf: http://www.ecoi.net/local_link/270725/400809_de.html) ist jedoch zu entnehmen, dass die Diskriminierung von Roma-Angehörigen vorwiegend in den Bereichen des Ausbildungs-, Gesundheits- und Sozial- wesens stattfinde. Was die Situation in den ungarischen Gefängnissen an- belangt, wird im besagten Bericht positiv vermerkt, dass die ungarische Regierung per Ende 2013 die Anzahl der Gefängnisplätze um 1.26% er- höht und die unabhängige Überwachung der Gefängnisbedingungen durch internationale Menschenrechtsorganisationen, wie dem Hungarian Helsinki Committee (nachfolgend "HHC"), sowie durch die Medien zugesichert habe und derartige Überwachungen, insbesondere durch das HHC, bereits durchgeführt worden seien. Ausserdem habe die ungarische Regierung konkrete Schritte unternommen, um von Beamten begangene Misshand- lungen zu verfolgen und zu bestrafen. Ernsthafte Gründe, dass der Be- schwerdeführer staatliche Repressalien fürchten muss, oder dass ihm eine grausame, unmenschliche oder erniedrigende Behandlung durch die unga- rischen Strafverfolgungsbehörden droht, sind damit weder konkret dargetan noch generell anzunehmen. Die Beschwerde erweist sich daher in diesem Punkt als unbegründet.</w:t>
      </w:r>
    </w:p>
    <w:p>
      <w:r>
        <w:t>- 6 -</w:t>
      </w:r>
    </w:p>
    <w:p>
      <w:r>
        <w:rPr>
          <w:b/>
        </w:rPr>
        <w:t>E. 4.1</w:t>
      </w:r>
    </w:p>
    <w:p>
      <w:r>
        <w:t>Soweit sodann der Beschwerdeführer das Auslieferungsverfahren der österreichischen Behörden an die Schweiz rügt, indem er geltend macht, man hätte ihn direkt an Ungarn ausliefern müssen, da die ihm in der Schweiz vorgeworfenen Delikte – Förderung der Prostitution und Men- schenhandel – eng mit den in Ungarn verübten Straftaten zusammenhän- gen würden, und er sei im österreichischen Auslieferungsverfahren nicht rechtsgenügend vertreten gewesen (act. 1 S. 4 ff. und act. 9 S. 2 ff.), ist er im vorliegenden Verfahren nicht zu hören. Diese Rügen mussten vom Be- schwerdeführer im österreichischen Auslieferungsverfahren geltend ge- macht werden.</w:t>
      </w:r>
    </w:p>
    <w:p>
      <w:r>
        <w:rPr>
          <w:b/>
        </w:rPr>
        <w:t>E. 4.2</w:t>
      </w:r>
    </w:p>
    <w:p>
      <w:r>
        <w:t>Ebensowenig ist im vorliegenden Verfahren auf die Rüge des Beschwerde- führers, er sei in der Schweiz zu Unrecht wegen Menschenhandels verur- teilt worden (act. 9 S. 2), einzugehen. Vorliegend ist einzig zu prüfen, ob die Voraussetzungen für eine Auslieferung des Beschwerdeführers nach Ungarn gegeben sind.</w:t>
      </w:r>
    </w:p>
    <w:p>
      <w:r>
        <w:rPr>
          <w:b/>
        </w:rPr>
        <w:t>E. 5</w:t>
      </w:r>
    </w:p>
    <w:p>
      <w:r>
        <w:t>Andere Auslieferungshindernisse werden weder geltend gemacht noch sind solche ersichtlich. Die Auslieferung des Beschwerdeführers an Ungarn ist daher zulässig. Die Beschwerde ist nach dem Gesagten in allen Punkten als unbegründet abzuweisen.</w:t>
      </w:r>
    </w:p>
    <w:p>
      <w:r>
        <w:rPr>
          <w:b/>
        </w:rPr>
        <w:t>E. 6.1</w:t>
      </w:r>
    </w:p>
    <w:p>
      <w:r>
        <w:t>Der Beschwerdeführer stellt das Gesuch um Gewährung der unentgeltli- chen Rechtspflege (RP.2014.44, act. 1).</w:t>
      </w:r>
    </w:p>
    <w:p>
      <w:r>
        <w:rPr>
          <w:b/>
        </w:rPr>
        <w:t>E. 6.2</w:t>
      </w:r>
    </w:p>
    <w:p>
      <w:r>
        <w:t>Die Beschwerdekammer befreit eine Partei, die nicht über die erforderli- chen Mittel verfügt, auf Antrag von den Verfahrenskosten, sofern ihr Be- gehren nicht aussichtslos erscheint (Art. 65 Abs. 1 VwVG i.V.m. Art. 39 Abs. 2 lit. b StBOG).</w:t>
      </w:r>
    </w:p>
    <w:p>
      <w:r>
        <w:t>Gemäss bundesgerichtlicher Rechtsprechung sind Prozessbegehren als aussichtslos anzusehen, wenn die Gewinnaussichten beträchtlich geringer erscheinen als die Verlustgefahren und sie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w:t>
      </w:r>
    </w:p>
    <w:p>
      <w:r>
        <w:t>- 7 -</w:t>
      </w:r>
    </w:p>
    <w:p>
      <w:r>
        <w:t>gende Erfolgsaussichten bestehen, beurteilt sich nach den Verhältnissen zur Zeit, zu der das Gesuch um unentgeltliche Rechtspflege gestellt wird (BGE 129 I 129 E. 2.3.1; 128 I 225 E. 2.5.3; 124 I 304 E. 2c).</w:t>
      </w:r>
    </w:p>
    <w:p>
      <w:r>
        <w:rPr>
          <w:b/>
        </w:rPr>
        <w:t>E. 6.3</w:t>
      </w:r>
    </w:p>
    <w:p>
      <w:r>
        <w:t>Den vorstehenden Erwägungen ist zu entnehmen, dass die Beschwerde offensichtlich unbegründet war und demgemäss keine Aussicht auf Erfolg hatte. Das Gesuch um Gewährung der unentgeltlichen Rechtspflege ist deshalb aus diesem Grund abzuweisen.</w:t>
      </w:r>
    </w:p>
    <w:p>
      <w:r>
        <w:rPr>
          <w:b/>
        </w:rPr>
        <w:t>E. 7</w:t>
      </w:r>
    </w:p>
    <w:p>
      <w:r>
        <w:t>Bei diesem Ausgang des Verfahrens wird der Beschwerdeführer kosten- pflichtig (Art. 63 VwVG i.V.m. Art. 39 Abs. 2 lit. b StBOG). Für die Berech- nung der Gerichtsgebühr gelangt das BStKR (i.V.m. Art. 63 Abs. 5 VwVG) zur Anwendung. Der vermutungsweise schwierigen finanziellen Situation (Haft) ist mit einer reduzierten Gerichtsgebühr von Fr. 1'500.-- Rechnung zu tragen.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