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RR.2014.104 vom 4. September 2014</w:t>
      </w:r>
    </w:p>
    <w:p>
      <w:r>
        <w:t>Bundesstrafgericht, 2014-09-04, FR</w:t>
      </w:r>
    </w:p>
    <w:p>
      <w:r>
        <w:rPr>
          <w:b/>
        </w:rPr>
        <w:t xml:space="preserve">Quelle: </w:t>
      </w:r>
      <w:r>
        <w:t>https://mcp.opencaselaw.ch/entscheid/bstger_RR.2014.104</w:t>
      </w:r>
    </w:p>
    <w:p>
      <w:r>
        <w:t>FR: TPF RR.2014.104 du 4 septembre 2014</w:t>
      </w:r>
    </w:p>
    <w:p>
      <w:r>
        <w:t>IT: TPF RR.2014.104 del 4 settembre 2014</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 ficiel de l’Union européenne L 239 du 22 septembre 2000, p. 19 à 62) s’appliquent également à l’entraide pénale entre ces deux Etats. Peut éga- lement s’appliquer en l’occurrence la Convention du Conseil de l’Europe re- lative au blanchiment, au dépistage, à la saisie et à la confiscation des pro- duits du crime (CBl; RS 0.311.53). Les dispositions de ces traités l’emportent sur le droit autonome qui régit la matière, soit la loi fédérale sur l'entraide internationale en matière pénale (EIMP; RS 351.1) et son ordon- nance d’exécution (OEIMP; RS 351.11). Le droit interne reste toutefois ap- plicable aux questions non réglées, explicitement ou implicitement, par le traité et lorsqu’il est plus favorable à l’entraide (ATF 137 IV 33 consid. 2.2.2; 136 IV 82 consid. 3.1; arrêt du Tribunal pénal fédéral RR.2010.9 du 15 avril 2010, consid. 1.3), ce qui est valable aussi dans le rapport entre el- les des normes internationales (v. art. 48 ch. 2 CAAS et 39 ch. 2 CBl). L’application de la norme la plus favorable doit avoir lieu dans le respect des droits fondamentaux (ATF 135 IV 212 consid. 2.3; 123 II 595 consid. 7c).</w:t>
      </w:r>
    </w:p>
    <w:p>
      <w:r>
        <w:rPr>
          <w:b/>
        </w:rPr>
        <w:t>E. 1.1</w:t>
      </w:r>
    </w:p>
    <w:p>
      <w:r>
        <w:t>En vertu de l’art. 37 al. 2 let. a LOAP, mis en relation avec les art. 25 al. 1 et 80e al. 1 EIMP, la Cour des plaintes du Tribunal pénal fédéral est com-</w:t>
      </w:r>
    </w:p>
    <w:p>
      <w:r>
        <w:t>- 6 -</w:t>
      </w:r>
    </w:p>
    <w:p>
      <w:r>
        <w:t>pétente pour connaître des recours dirigés contre les décisions de clôture de la procédure d’entraide rendues par l’autorité fédérale d’exécution.</w:t>
      </w:r>
    </w:p>
    <w:p>
      <w:r>
        <w:rPr>
          <w:b/>
        </w:rPr>
        <w:t>E. 1.2</w:t>
      </w:r>
    </w:p>
    <w:p>
      <w:r>
        <w:t>Le délai de recours contre la décision de clôture est de 30 jours dès la communication écrite de celle-ci (art. 80k EIMP). Déposé à un bureau de poste suisse le 17 mars 2014, le recours contre la décision entreprise est intervenu en temps utile.</w:t>
      </w:r>
    </w:p>
    <w:p>
      <w:r>
        <w:rPr>
          <w:b/>
        </w:rPr>
        <w:t>E. 1.3</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En application de ces principes, la qualité pour recourir est reconnue à la recourante, en tant que titulaire de la relation bancaire visée par la mesure querellée (v. supra let. D).</w:t>
      </w:r>
    </w:p>
    <w:p>
      <w:r>
        <w:rPr>
          <w:b/>
        </w:rPr>
        <w:t>E. 2</w:t>
      </w:r>
    </w:p>
    <w:p>
      <w:r>
        <w:t>La recourante se plaint en substance d’une violation du principe de la pro- portionnalité (act. 1, p. 10 s.). Selon elle, le MPC "ne saurait, a posteriori, de son propre chef et sans en être requis, substituer son propre pouvoir d'examen à celui de l'autorité requérante pour décider de transmettre des documents [auxquels] cette dernière a délibérément renoncé[s]" (act. 1, p. 13).</w:t>
      </w:r>
    </w:p>
    <w:p>
      <w:r>
        <w:rPr>
          <w:b/>
        </w:rPr>
        <w:t>E. 2.1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w:t>
      </w:r>
    </w:p>
    <w:p>
      <w:r>
        <w:t>- 7 -</w:t>
      </w:r>
    </w:p>
    <w:p>
      <w:r>
        <w:t>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2.2.1</w:t>
      </w:r>
    </w:p>
    <w:p>
      <w:r>
        <w:t>Comme rappelé plus haut, l’autorité requérante enquête sur les agisse- ments de B. (v. supra let. A), soupçonné d’avoir mis en place un vaste ré- seau de sociétés dans le but de blanchir des bénéfices obtenus de manière illicite en Espagne, notamment ensuite d’actes de corruption prenant la forme de remise d’argent et de cadeaux à des responsables politiques im- pliqués dans l’octroi de marchés publics (v. supra ibidem). Une partie au moins des valeurs patrimoniales ainsi obtenues en exécution de ces con- trats aurait ensuite transité par ledit réseau de sociétés – dont certaines si- tuées à l’étranger –, avant d’être réinjectée dans le circuit financier espa- gnol. Pareils agissements, s’ils devaient être confirmés, tomberaient en droit suisse sous le coup de l’art. 305bis CP réprimant le blanchiment d’argent (v. ATF 137 IV 79 consid. 3.2 in fine).</w:t>
      </w:r>
    </w:p>
    <w:p>
      <w:r>
        <w:t>Cela étant, l’autorité requérante soupçonne le dénommé K., alors maire de la ville de Z. (région de Madrid), d'avoir perçu, à titre personnel, des fonds en lien avec son activité publique dans le cadre d'adjudications de travaux publics. Ces fonds auraient transité par un compte ouvert au nom de la so- ciété I. en les livres de la banque D., compte qui a pour ayants droit éco- nomiques tant K. que B., l'un des principaux prévenus dans l'enquête es- pagnole. Or il appert que l’exécution de la demande d’entraide a révélé que, en date du 27 décembre 2004, un versement à hauteur de EUR 52'845.-- a été opéré du compte de la recourante en faveur de celui de la société I. Dans ces conditions, force est d’admettre qu’il existe un rapport objectif entre le compte de la recourante, d’une part, et les infractions fai- sant l’objet de l’investigation espagnole, d’autre part. Le fait que la procédu- re espagnole ne soit pas dirigée formellement contre la recourante ne constitue pas un obstacle à l’entraide. S’agissant de demandes relatives à des informations bancaires, il convient en effet de transmettre tous les do- cuments qui peuvent avoir trait au soupçon exposé dans la demande d’entraide; il suffit qu’il existe un lien de connexité entre l’état de fait sur le- quel porte l’enquête pénale menée par les autorités de l’Etat requérant et</w:t>
      </w:r>
    </w:p>
    <w:p>
      <w:r>
        <w:t>- 8 -</w:t>
      </w:r>
    </w:p>
    <w:p>
      <w:r>
        <w:t>les documents visés par la remise pour que ceux-ci doivent être remis. 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w:t>
      </w:r>
    </w:p>
    <w:p>
      <w:r>
        <w:rPr>
          <w:b/>
        </w:rPr>
        <w:t>E. 2.2.2</w:t>
      </w:r>
    </w:p>
    <w:p>
      <w:r>
        <w:t>Lorsque la demande vise à éclaircir le cheminement de fonds d’origine dé- lictueuse, il convient en principe d’informer l’Etat requérant de toutes les transactions opérées au nom des entités (personnes physiques ou mo- rales) et par le biais des comptes impliqués dans l’affaire, même sur une période relativement étendue (ATF 121 II 241 consid. 3c). S’agissant d'un compte susceptible, comme en l’espèce, d’avoir joué un rôle dans un mé- canisme de blanchiment d'argent, l’autorité requérante a intérêt à pouvoir prendre connaissance de toute transaction susceptible de s’inscrire dans le mécanisme frauduleux mis en place par les personnes sous enquête en Espagne. C'est en vain que la recourante argue du fait que les documents dont la transmission est aujourd'hui ordonnée par le MPC ne figuraient pas au nombre de ceux pour lesquels les fonctionnaires espagnols avaient, en octobre 2013 lors de leur passage en Suisse, fait part de leur intérêt. En d'autres termes, l'argument selon lequel l'autorité requérante aurait "délibé- rément renoncé" à prendre connaissance de ces informations complémen- taires (act. 1, p. 13) ne convainc pas. En effet, au moment de désigner les pièces présentant à leurs yeux un intérêt pour leurs investigations, lesdits fonctionnaires ne pouvaient pas encore savoir ce que la demande d'édition bancaire intervenue postérieurement à la séance de tri – soit le 16 octobre 2013 – allait produire comme résultats. Or si la demande d'édition bancaire avait certes pour but d'obtenir les justificatifs relatifs aux transactions ex- pressément indiquées par l'autorité requérante, il n'en demeure pas moins que l'autorité d'exécution, sur la base des documents nouvellement pro- duits par la banque D., a été en mesure de mettre à jour des transactions supplémentaires présentant un lien avec la procédure espagnole. Dès lors que certaines des entités impliquées dans lesdites transactions ont, dans le cadre de la procédure d'entraide conduite par le MPC, déjà fait l'objet de décisions de clôture séparées, force est d'admettre avec l'autorité d'exécu- tion qu'elles peuvent présenter un intérêt évident pour l'autorité requérante.</w:t>
      </w:r>
    </w:p>
    <w:p>
      <w:r>
        <w:t>Certes, il se peut également que le compte litigieux n’ait pas servi à rece- voir le produit d’infractions pénales, ni à opérer des virements illicites ou à blanchir des fonds. L’autorité requérante n’en dispose pas moins d’un inté- rêt à pouvoir le vérifier elle-même, sur le vu d’une documentation complète,</w:t>
      </w:r>
    </w:p>
    <w:p>
      <w:r>
        <w:t>- 9 -</w:t>
      </w:r>
    </w:p>
    <w:p>
      <w:r>
        <w:t>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 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3e éd., Berne 2009, n° 722, p. 673 s.).</w:t>
      </w:r>
    </w:p>
    <w:p>
      <w:r>
        <w:t>En l’espèce, l’autorité d’exécution entend transmettre les justificatifs relatifs à onze opérations bancaires opérées à partir ou en faveur du compte de la recourante. Ces opérations ont été effectuées entre 2004 et 2008 – soit une période correspondant à celle des faits sous enquête en Espagne. Comme déjà relevé, il apparaît que les titulaires des comptes en question, à tout le moins certains d'entre eux, ont déjà fait l'objet de décisions de clô- ture séparées de la part du MPC dans le cadre de l'exécution de la de- mande d'entraide espagnole. Sur le vu des considérations qui précèdent, force est de constater que l’autorité d’exécution n’a pas violé le principe de la proportionnalité en autorisant la remise aux autorités espagnoles des in- formations bancaires relatives aux onze opérations susmentionnées, et ce au regard du principe cardinal de l'utilité potentielle dont l'importance en matière d'entraide a été rappelée ci-avant. Il s’ensuit que le grief tiré de la violation du principe de la proportionnalité n’est en l'espèce pas fondé et doit être rejeté.</w:t>
      </w:r>
    </w:p>
    <w:p>
      <w:r>
        <w:rPr>
          <w:b/>
        </w:rPr>
        <w:t>E. 3</w:t>
      </w:r>
    </w:p>
    <w:p>
      <w:r>
        <w:t>Les considérants qui précèdent conduisent au rejet du recours.</w:t>
      </w:r>
    </w:p>
    <w:p>
      <w:r>
        <w:rPr>
          <w:b/>
        </w:rPr>
        <w:t>E. 4</w:t>
      </w:r>
    </w:p>
    <w:p>
      <w:r>
        <w:t>En règle générale, les frais de procédure comprenant l'émolument d'arrêté, les émoluments de chancellerie et les débours sont mis à la charge des parties qui succombent (art. 63 al. 1 PA, applicable par renvoi de l'art. 39</w:t>
      </w:r>
    </w:p>
    <w:p>
      <w:r>
        <w:t>- 10 -</w:t>
      </w:r>
    </w:p>
    <w:p>
      <w:r>
        <w:t>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4'000.-- (art. 73 al. 2 LOAP et art. 8 al. 3 du règlement du Tribunal pé- nal fédéral sur les frais, émoluments, dépens, et indemnités de la procédu- re pénale fédérale du 31 août 2010 [RFPPF; RD 173.713.162] et art. 63 al.</w:t>
      </w:r>
    </w:p>
    <w:p>
      <w:r>
        <w:rPr>
          <w:b/>
        </w:rPr>
        <w:t>E. 5</w:t>
      </w:r>
    </w:p>
    <w:p>
      <w:r>
        <w:t>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