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RR.2014.100 vom 22. Mai 2014</w:t>
      </w:r>
    </w:p>
    <w:p>
      <w:r>
        <w:t>Bundesstrafgericht, 2014-05-22, FR</w:t>
      </w:r>
    </w:p>
    <w:p>
      <w:r>
        <w:rPr>
          <w:b/>
        </w:rPr>
        <w:t xml:space="preserve">Quelle: </w:t>
      </w:r>
      <w:r>
        <w:t>https://mcp.opencaselaw.ch/entscheid/bstger_RR.2014.100</w:t>
      </w:r>
    </w:p>
    <w:p>
      <w:r>
        <w:t>FR: TPF RR.2014.100 du 22 mai 2014</w:t>
      </w:r>
    </w:p>
    <w:p>
      <w:r>
        <w:t>IT: TPF RR.2014.100 del 22 maggio 2014</w:t>
      </w:r>
    </w:p>
    <w:p>
      <w:pPr>
        <w:pStyle w:val="Heading2"/>
      </w:pPr>
      <w:r>
        <w:t>Regeste</w:t>
      </w:r>
    </w:p>
    <w:p>
      <w:r>
        <w:t>Entraide judiciaire internationale en matière pénale à la Norvège. Remise de moyens de preuve (art. 74 EIMP).</w:t>
      </w:r>
    </w:p>
    <w:p>
      <w:pPr>
        <w:pStyle w:val="Heading2"/>
      </w:pPr>
      <w:r>
        <w:t>Erwägungen</w:t>
      </w:r>
    </w:p>
    <w:p>
      <w:r>
        <w:rPr>
          <w:b/>
        </w:rPr>
        <w:t>E. 1.1</w:t>
      </w:r>
    </w:p>
    <w:p>
      <w:r>
        <w:t>L'entraide judiciaire entre la Norvège et la Suisse est régie par la Convention européenne d'entraide judiciaire en matière pénale du 20 avril 1959 (CEEJ; RS 0.351.1), entrée en vigueur le 20 mars 1967 pour la Suisse et le 12 juin 1962 pour la Norvège, ainsi que par le Deuxième Protocole additionnel du 8 novembre 2001 à la CEEJ, entré en vigueur pour la Suisse le 1er février 2005 et pour l’Etat requérant le 1er mars 2013. De plus, les art. 48 ss de la Convention d'application de l'Accord de Schengen du 14 juin 1985 (CAAS; n° CELEX 42000A0922(02); Journal officiel de l'Union européenne L 239 du 22 septembre 2000, p. 19-62; publication de la Chancellerie fédérale, "Entraide et extradition"; v. arrêt du Tribunal pénal fédéral RR.2013.123-126 du 2 août 2013, consid. 1.2) sont applicables. S’agissant d’une demande d’entraide présentée notamment pour la répression du blanchiment d’argent, entre également en</w:t>
      </w:r>
    </w:p>
    <w:p>
      <w:r>
        <w:t>- 4 -</w:t>
      </w:r>
    </w:p>
    <w:p>
      <w:r>
        <w:t>considération la Convention relative au blanchiment, au dépistage, à la saisie et à la confiscation des produits du crime (CBI; RS 0.311.53), entrée en vigueur le 1er septembre 1993 pour la Suisse et le 1er mars 1995 pour la Norvège. La loi fédérale sur l’entraide internationale en matière pénale (EIMP; RS 351.1) et son ordonnance d’exécution (OEIMP; RS 351.11) s’appliquent toutefois aux questions non réglées, explicitement ou implicitement, par les traités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12 mars 2014, le recours contre la décision de clôture notifiée le 10 février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leur qualité de titulaires du compte n° 1 ouvert auprès de la banque H., B. et A. disposent de la qualité pour recourir contre la transmission de la documentation bancaire y relative.</w:t>
      </w:r>
    </w:p>
    <w:p>
      <w:r>
        <w:rPr>
          <w:b/>
        </w:rPr>
        <w:t>E. 1.5</w:t>
      </w:r>
    </w:p>
    <w:p>
      <w:r>
        <w:t>Le recours est recevable.</w:t>
      </w:r>
    </w:p>
    <w:p>
      <w:r>
        <w:t>- 5 -</w:t>
      </w:r>
    </w:p>
    <w:p>
      <w:r>
        <w:rPr>
          <w:b/>
        </w:rPr>
        <w:t>E. 2</w:t>
      </w:r>
    </w:p>
    <w:p>
      <w:r>
        <w:t>Dans un premier grief, les recourants arguent du fait que les exigences formelles applicables à la procédure d'entraide n'ont pas été respectées. D'après eux, la décision de clôture du 7 février 2014 est basée tant sur la demande d'entraide du 28 septembre 2012 que sur celle du 13 mars 2013, en particulier s'agissant de l'état de fait exposé, quand bien même la première demande d'entraide n'a pas fait l'objet d'une décision d'entrée en matière, exigence pourtant posée par l'art. 80a al. 1 EIMP.</w:t>
      </w:r>
    </w:p>
    <w:p>
      <w:r>
        <w:rPr>
          <w:b/>
        </w:rPr>
        <w:t>E. 2.1</w:t>
      </w:r>
    </w:p>
    <w:p>
      <w:r>
        <w:t>A teneur de l'art. 80a al. 1 EIMP, après réception d'une demande d'entraide, l'autorité rend une décision d'entrée en matière sommairement motivée. Selon l’art. 14 CEEJ, la demande d’entraide doit notamment indiquer son objet et son but (ch. 1 let. b), ainsi que l’inculpation et un exposé sommaire des faits (ch. 2). D’après la jurisprudence du Tribunal fédéral, on ne saurait toutefois exiger de l’Etat requérant un exposé complet et exempt de toute lacune, car la procédure d’entraide a précisément pour but d’apporter aux autorités de l’Etat requérant des renseignements au sujet des points demeurés obscurs (ATF 117 lb 64 consid. 5c et les arrêts cités). Ces indications doivent permettre à l’autorité requise de s’assurer que l’acte pour lequel l’entraide est demandée est punissable selon le droit des Parties requérante et requise (art. 5 ch. 1 let. a CEEJ), qu’il ne constitue pas un délit politique ou fiscal (art. 2 let. a CEEJ), que l’exécution de la demande n’est pas de nature à porter atteinte à la souveraineté, à la sécurité, à l’ordre public ou à d’autres intérêts essentiels du pays (art. 2 let. b CEEJ), et que le principe de la proportionnalité est respecté (arrêt du Tribunal pénal fédéral RR.2011.225 du 23 février 2012 consid. 3; arrêt du Tribunal pénal fédéral RR.2008.254 du 16 février 2009, consid. 3.2 et la jurisprudence citée). L'art. 28 EIMP pose des exigences équivalentes, que l’OEIMP précise en exigeant l’indication du lieu, de la date et du mode de commission des infractions (art. 10 al. 2 OEIMP). A préciser encore que ces éléments peuvent être contenus dans la demande d'entraide proprement dite ou dans ses annexes (art. 10 al. 1 OEIMP).</w:t>
      </w:r>
    </w:p>
    <w:p>
      <w:r>
        <w:rPr>
          <w:b/>
        </w:rPr>
        <w:t>E. 2.2</w:t>
      </w:r>
    </w:p>
    <w:p>
      <w:r>
        <w:t>Il est incontestable qu'il n'a pas été entré en matière sur la demande d'entraide formulée par les autorités norvégiennes en date du 28 septembre 2012. Une telle situation s'explique toutefois, comme le précise l'OFJ dans ses observations, par le fait que l'Etat requérant a renoncé à l'exécution de ladite demande d'entraide (observations de l'OFJ, act. 6, § 3). Tel élément n'est cependant pas déterminant en l'espèce. En effet, la commission rogatoire du 13 mars 2013 fait expressément référence à celle datée du 28 septembre 2012 ("Nous faisons référence à notre demande d'entraide secondaire du 28 septembre 2012, dans laquelle</w:t>
      </w:r>
    </w:p>
    <w:p>
      <w:r>
        <w:t>- 6 -</w:t>
      </w:r>
    </w:p>
    <w:p>
      <w:r>
        <w:t>l'affaire est décrite en détail […]", dossier MPC, 1, p. 1), partant, l'état de fait exposé dans cette dernière peut être considéré comme faisant partie intégrante de la commission rogatoire du 13 mars 2013 sans pour autant nécessiter de décision d'entrée en matière distincte. A toutes fins utiles, il sied de préciser encore que l'état de fait exposé dans la commission rogatoire du 13 mars 2013 aurait été, à lui seul, suffisant pour octroyer l'entraide, sans nécessiter de renvoi vers la commission rogatoire du 28 septembre 2012. En effet, à teneur de la commission rogatoire du 13 mars 2013, "[i]l y a lieu de soupçonner la société I. et la société J., par l'intermédiaire de A. et/ou des sociétés contrôlées par lui, d'avoir payé des pots-de-vin à D., qui au moment des faits était le Président de la société C., ainsi que d'être le Ministre du Pétrole du pays Z. Il y a également lieu à soupçonner que d'autres personnes de la société C. ont pu recevoir des pots-de-vin, en particulier G., qui était le Directeur Général de la société C. jusqu'à environ 1997, et F., qui était le Directeur Général de la société C. durant la période 2001-2005" (dossier MPC, 1, p. 1-2). Ces éléments apparaissent comme satisfaisants au regard des exigences posées par la CEEJ et le droit interne susmentionnés.</w:t>
      </w:r>
    </w:p>
    <w:p>
      <w:r>
        <w:rPr>
          <w:b/>
        </w:rPr>
        <w:t>E. 2.3</w:t>
      </w:r>
    </w:p>
    <w:p>
      <w:r>
        <w:t>Le grief doit, partant, être rejeté.</w:t>
      </w:r>
    </w:p>
    <w:p>
      <w:r>
        <w:rPr>
          <w:b/>
        </w:rPr>
        <w:t>E. 3</w:t>
      </w:r>
    </w:p>
    <w:p>
      <w:r>
        <w:t>D'après les recourants, la consultation du dossier de l'entraide par les représentants de l'Etat requérant et la manière dont celle-ci s'est déroulée serait contraire aux règles applicables en matière d'entraide. En particulier, les recourants n'auraient eu aucun contrôle sur l'étendue des documents mis à disposition des fonctionnaires étrangers. Par ailleurs, les recourants allèguent que le MPC aurait violé le principe de l'utilité potentielle, dans la mesure où la documentation bancaire relative au compte n° 1 ne serait visée par "aucune des demandes d'entraide émanant des autorités norvégiennes". De plus, d'après eux, "[a]ucune "note au dossier" ne permet d'attester de l'intérêt que ce compte aurait suscité auprès des autorités norvégiennes suite à la consultation par ces dernières du dossier du MPC qui aurait eu lieu le 21 juin 2013" (mémoire de recours, act. 1, § 61).</w:t>
      </w:r>
    </w:p>
    <w:p>
      <w:r>
        <w:rPr>
          <w:b/>
        </w:rPr>
        <w:t>E. 3.1</w:t>
      </w:r>
    </w:p>
    <w:p>
      <w:r>
        <w:t>Aux termes de l'art. 4, 2e phrase, CEEJ, l'autorité requérante peut assister à l'exécution d'une mesure d'entraide si la Partie requise y consent. Il est de jurisprudence constante que la présence des agents étrangers conduisant l'enquête est de nature à faciliter grandement l'exécution de la demande d'entraide, de sorte que leur participation à l'exécution de celle-ci doit être accordée largement (arrêts du Tribunal fédéral 1A.369/1996 du 28 janvier 1997, consid. 4; 1A.85/1996 du 4 juin 1996, consid. 5b). La présence d'autorités de l'Etat requérant lors de l'exécution de la demande</w:t>
      </w:r>
    </w:p>
    <w:p>
      <w:r>
        <w:t>- 7 -</w:t>
      </w:r>
    </w:p>
    <w:p>
      <w:r>
        <w:t>d'entraide simplifie l'application du principe de la proportionnalité,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La coopération judiciaire internationale en matière pénale, 3e éd., Berne 2009, n° 408). Il sied de préciser que les règles applicables à l'entraide sont respectées pour autant que la présence de fonctionnaires étrangers n'a pas pour conséquence de porter à la connaissance des autorités de l'Etat requérant des faits touchant au domaine secret avant le prononcé d'une décision définitive sur l'octroi et l'étendue de l'entraide, ce risque pouvant être évité par la fourniture, par l'autorité requérante, de garanties quant à la non- utilisation prématurée des informations (ATF 128 II 211 consid. 2.1; arrêts du Tribunal fédéral 1A.3/2007 du 11 janvier 2007, consid. 2.3 et 1A.217/2004 du 18 octobre 2004, consid. 2.6; ZIMMERMANN, op. cit., n° 409). Il est de jurisprudence constante que l'interdiction d'utiliser les informations recueillies, de prendre des notes ou de faire des copies et d'accéder aux procès-verbaux d'audition constituent des garanties suffisantes (ATF 131 II 132 consid. 2.2; arrêt du Tribunal fédéral 1A.215/2006 du 7 novembre 2006, consid. 1.3; ég. ZIMMERMANN, op. cit., n° 409). Suite à la demande d’entraide formulée par la Norvège en date du 13 mars 2013, le MPC a autorisé les représentants de l’autorité requérante à consulter le dossier de la procédure suisse afin de faciliter l'exécution de la demande d'entraide et de mieux cibler les pièces pertinentes pour ladite procédure. Dans la mesure où plusieurs Etats ont présenté des commissions rogatoires à la Suisse dans le cadre des faits entourant les opérations effectuées par A. en rapport avec la société C., la consultation a eu lieu en même temps pour les représentants des différents Etats. A l'issue de la consultation, les représentants tant de la Norvège que de tous les autres Etats requérants ont signé une déclaration de garantie quant à la non utilisation prématurée des informations et ils ont remis aux autorités suisses toutes les notes manuscrites prises lors de leur séjour. Il ressort également du procès-verbal de consultation du 21 juin 2013 établi par le MPC que le procureur fédéral en charge de l'exécution de l'entraide s'est assuré qu'aucune copie ni photocopie n'a été prise lors de la consultation (dossier MPC, 9). Conforme à la jurisprudence susmentionnée, cette pratique n'a pas à être remise en question.</w:t>
      </w:r>
    </w:p>
    <w:p>
      <w:r>
        <w:t>- 8 -</w:t>
      </w:r>
    </w:p>
    <w:p>
      <w:r>
        <w:rPr>
          <w:b/>
        </w:rPr>
        <w:t>E. 3.2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w:t>
      </w:r>
    </w:p>
    <w:p>
      <w:r>
        <w:t>- 9 -</w:t>
      </w:r>
    </w:p>
    <w:p>
      <w:r>
        <w:t>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du compte, afin notamment de connaître l’identité de l’ayant droit économique et des signataires autorisés. Elle dispose également d’un intérêt à être informée de toute transaction susceptible de s’inscrire dans le mécanisme mis en place par les personnes sous enquête en Norvège.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En l'espèce, la demande d'entraide norvégienne porte expressément sur la transmission de la documentation bancaire relative aux comptes ouverts au nom de, ou contrôlés par, A. Tel est le cas du compte n° 1 ouvert auprès de la banque H. aux noms de A. et B. En tout état de cause, il ressort de la note au dossier effectuée lors de la consultation du dossier de la procédure suisse par les autorités norvégiennes que celles-ci ont sélectionné "les</w:t>
      </w:r>
    </w:p>
    <w:p>
      <w:r>
        <w:t>- 10 -</w:t>
      </w:r>
    </w:p>
    <w:p>
      <w:r>
        <w:t>comptes en lien avec des récipiendaires potentiels de montants corruptifs, notamment D., mais également des comptes sur lesquels A. avait un pouvoir de disposition. Ces comptes pourraient avoir été utilisés pour des versements de montants corruptifs" (dossier MPC, 9). Le compte n° 1 a, dès lors, été sélectionné par les autorités norvégiennes lors de la consultation du dossier de la procédure suisse, contrairement aux dires des recourants, et la transmission de la documentation bancaire y relative se justifie en tant qu'elle fait partie intégrante de la demande formulée par les autorités norvégiennes.</w:t>
      </w:r>
    </w:p>
    <w:p>
      <w:r>
        <w:rPr>
          <w:b/>
        </w:rPr>
        <w:t>E. 3.3</w:t>
      </w:r>
    </w:p>
    <w:p>
      <w:r>
        <w:t>Le grief doit être rejeté.</w:t>
      </w:r>
    </w:p>
    <w:p>
      <w:r>
        <w:rPr>
          <w:b/>
        </w:rPr>
        <w:t>E. 4</w:t>
      </w:r>
    </w:p>
    <w:p>
      <w:r>
        <w:t>De plus, les recourants allèguent que les règles applicables au tri des pièces ont été violées. Toujours selon les recourants, ils "auraient dû être informés sur les modalités de tri mises en œuvre par le MPC sur délégation de l'OFJ, et ceci fait, auraient dû se faire aménager la possibilité concrète et effective de se déterminer sur la question du tri des pièces" (mémoire de recours, act. 1, § 70).</w:t>
      </w:r>
    </w:p>
    <w:p>
      <w:r>
        <w:rPr>
          <w:b/>
        </w:rPr>
        <w:t>E. 4.1</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4.2</w:t>
      </w:r>
    </w:p>
    <w:p>
      <w:r>
        <w:t>En l’espèce, les recourants ont été informés en date du 3 septembre 2013 que le MPC envisageait de transmettre aux autorités norvégiennes la documentation bancaire relative au compte n° 1 ouvert aux noms de B. et A. (dossier MPC, 8). Ils ont exercé leur droit d’être entendus par courrier du 31 octobre 2013, dans lequel ils se sont opposés à toute transmission des documents bancaires les concernant (act. 1.18).</w:t>
      </w:r>
    </w:p>
    <w:p>
      <w:r>
        <w:t>- 11 -</w:t>
      </w:r>
    </w:p>
    <w:p>
      <w:r>
        <w:rPr>
          <w:b/>
        </w:rPr>
        <w:t>E. 4.3</w:t>
      </w:r>
    </w:p>
    <w:p>
      <w:r>
        <w:t>Les règles applicables en matière de tri des pièces ayant été respectées, le grief doit être rejeté.</w:t>
      </w:r>
    </w:p>
    <w:p>
      <w:r>
        <w:rPr>
          <w:b/>
        </w:rPr>
        <w:t>E. 5</w:t>
      </w:r>
    </w:p>
    <w:p>
      <w:r>
        <w:t>Finalement, B. et A. invoquent une violation du principe ne bis in idem. Ils se prévalent de l'abandon des poursuites contre A. au Royaume-Uni du chef de corruption d'agents publics étrangers qui aurait pour conséquence de réduire à néant le bien-fondé de la demande d'entraide judiciaire présentée par la Norvège. Quel que soit l'état de la procédure ouverte au Royaume-Uni à l'encontre de A., celle-ci n'a pas à être prise en compte dans le cadre de la présente procédure d'entraide. Les recourants perdent en effet de vue que ce n'est pas cet Etat qui requiert l'entraide, mais la Norvège. Or, ce dernier Etat n'a guère retiré sa demande d'entraide. Il est de jurisprudence constante que l'entraide doit être accordée tant que la demande n'est pas retirée par l'Etat requérant et cela quand bien même il existerait des éléments susceptibles de mettre hors de cause le recourant dans l'Etat requérant. Il convient finalement de relever que, dans le cas d'espèce, la procédure en Norvège est ouverte à l'encontre non seulement de A. mais également d'autres personnes, à savoir les sociétés I. et J. (commission rogatoire, dossier MPC, 1), du chef de blanchiment d'argent, en sus de celui de corruption. Par conséquent, l'on ne saurait tenir compte de l'argument des recourants. Le grief doit ainsi être rejeté.</w:t>
      </w:r>
    </w:p>
    <w:p>
      <w:r>
        <w:rPr>
          <w:b/>
        </w:rPr>
        <w:t>E. 6</w:t>
      </w:r>
    </w:p>
    <w:p>
      <w:r>
        <w:t>Le recours doit être rejeté.</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les frais du présent arrêt, lesquels se limitent à un émolument fixé à CHF 4'000.-- (art. 73 al. 2 LOAP et art. 8 al. 3 du règlement du Tribunal pénal fédéral sur les frais, émoluments, dépens et indemnités de la procédure pénale fédérale du 31 août 2010 [RFPPF; RS 173.713.162] et art. 63 al. 5 PA),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