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RR.2013.96 vom 6. September 2013</w:t>
      </w:r>
    </w:p>
    <w:p>
      <w:r>
        <w:t>Bundesstrafgericht, 2013-09-06, FR</w:t>
      </w:r>
    </w:p>
    <w:p>
      <w:r>
        <w:rPr>
          <w:b/>
        </w:rPr>
        <w:t xml:space="preserve">Quelle: </w:t>
      </w:r>
      <w:r>
        <w:t>https://mcp.opencaselaw.ch/entscheid/bstger_RR.2013.96</w:t>
      </w:r>
    </w:p>
    <w:p>
      <w:r>
        <w:t>FR: TPF RR.2013.96 du 6 septembre 2013</w:t>
      </w:r>
    </w:p>
    <w:p>
      <w:r>
        <w:t>IT: TPF RR.2013.96 del 6 settembre 2013</w:t>
      </w:r>
    </w:p>
    <w:p>
      <w:pPr>
        <w:pStyle w:val="Heading2"/>
      </w:pPr>
      <w:r>
        <w:t>Regeste</w:t>
      </w:r>
    </w:p>
    <w:p>
      <w:r>
        <w:t>Entraide judiciaire internationale en matière pénale à la Belgique. Remise de moyens de preuve (art. 74 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Belgique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 septembre 1993 pour la Suisse et le 1er mai 1998 pour la Belgique. Les dispositions de ces traités l’emportent sur le droit autonome qui régit la matière, soit la loi fédérale sur l’entraide internationale en matière pénale</w:t>
      </w:r>
    </w:p>
    <w:p>
      <w:r>
        <w:t>- 5 -</w:t>
      </w:r>
    </w:p>
    <w:p>
      <w:r>
        <w:t>(EIMP;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5 avril 2013, le recours contre la décision de clôture notifiée le 6 mars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Lorsque le titulaire du compte bancaire est décédé, le droit de recourir peut être exercé par l’ensemble des hoirs formant la communauté héréditaire. En effet, la communauté héréditaire comme telle n'a pas la personnalité juridique et n'a point qualité pour ester en justice (arrêt du Tribunal fédéral 1B_194/2012 du 3 août 2012, consid. 2.3). En l'espèce, A. est titulaire des comptes n° 4, n° 5, n° 7 et n° 8. Le compte n° 3 a pour co-titulaires A. et B. Le compte n° 6 a pour co-titulaires A. et C. Le compte n° 9 a pour titulaire D. Chacun d’entre eux bénéficie de la qualité pour recourir contre la transmission des documents relatifs au compte concerné. De plus, le compte n° 1 avait pour titulaire feu F. Quant au compte n° 2, il a été ouvert aux noms de feu F. et de A. En leur qualité de seuls héritiers de</w:t>
      </w:r>
    </w:p>
    <w:p>
      <w:r>
        <w:t>- 6 -</w:t>
      </w:r>
    </w:p>
    <w:p>
      <w:r>
        <w:t>feu F. (act. 1.2), A. et B. ont la qualité pour recourir contre la transmission des informations relatives aux comptes bancaires en question.</w:t>
      </w:r>
    </w:p>
    <w:p>
      <w:r>
        <w:rPr>
          <w:b/>
        </w:rPr>
        <w:t>E. 1.5</w:t>
      </w:r>
    </w:p>
    <w:p>
      <w:r>
        <w:t>Le recours est recevable, il y a lieu d’entrer en matière.</w:t>
      </w:r>
    </w:p>
    <w:p>
      <w:r>
        <w:rPr>
          <w:b/>
        </w:rPr>
        <w:t>E. 2</w:t>
      </w:r>
    </w:p>
    <w:p>
      <w:r>
        <w:t>Dans un premier grief, les recourants arguent du fait que la commission rogatoire et son complément seraient erronés, lacunaires et contradictoires, violant ainsi les art. 14 CEEJ, 28 EIMP et 14 al. 2 OEIMP. En effet, ils ne comporteraient ni le contenu d’une inculpation, ni un exposé sommaire des faits reprochés à A.</w:t>
      </w:r>
    </w:p>
    <w:p>
      <w:r>
        <w:rPr>
          <w:b/>
        </w:rPr>
        <w:t>E. 2.1</w:t>
      </w:r>
    </w:p>
    <w:p>
      <w:r>
        <w:t>Aux termes de l’art. 14 CEEJ, la demande d'entraide doit notamment indiquer l’autorité dont elle émane (ch. 1 let. a), son objet et son but (ch. 1 let. b), ainsi que l'inculpation et un exposé sommaire des faits (ch. 2). A teneur de l’art. 28 al. 3 let. a EIMP, la demande doit être accompagnée d’un exposé des faits pour lesquels l’entraide est demandée, précisant le temps, le lieu et la qualification juridique des faits poursuivis (cf. ég. art. 10 al. 2 OEIMP). Ces indications doivent permettre à l'autorité requise de s'assurer notamment du fait que l'acte pour lequel l'entraide est demandée est punissable selon le droit des parties requérante et requise (art. 5 par. 1 let. a CEEJ), qu'il ne constitue pas un délit politique ou fiscal (art. 2 let. a CEEJ) et que le principe de la proportionnalité est respecté (ATF 129 II 97 consid. 3.1; 118 Ib 111 consid. 5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2.2</w:t>
      </w:r>
    </w:p>
    <w:p>
      <w:r>
        <w:t>La commission rogatoire s’inscrit dans le cadre d’une procédure pénale menée en Belgique contre A., aux chefs de blanchiment d’argent et de corruption active. L’état de fait exposé par l’autorité requérante permet de</w:t>
      </w:r>
    </w:p>
    <w:p>
      <w:r>
        <w:t>- 7 -</w:t>
      </w:r>
    </w:p>
    <w:p>
      <w:r>
        <w:t>saisir que l’enquête porte sur l’obtention, par A., d’avantages en vue de la réalisation de projets immobiliers. De plus, plusieurs des membres de la famille T., dont A., auraient procédé à de nombreuses restructurations des sociétés faisant partie du groupe qu’ils contrôlent, par le biais d’opérations de fusion-absorption, et auraient ainsi perçu des plus-values importantes au dépens de certaines sociétés ou de tiers. Les éléments ainsi exposés montrent l’état actuel des soupçons pesant sur A. et satisfont les exigences posées par les art. 14 CEEJ, 28 EIMP et 14 al. 2 OEIMP.</w:t>
      </w:r>
    </w:p>
    <w:p>
      <w:r>
        <w:rPr>
          <w:b/>
        </w:rPr>
        <w:t>E. 2.3</w:t>
      </w:r>
    </w:p>
    <w:p>
      <w:r>
        <w:t>Le grief doit, partant, être rejeté.</w:t>
      </w:r>
    </w:p>
    <w:p>
      <w:r>
        <w:rPr>
          <w:b/>
        </w:rPr>
        <w:t>E. 3</w:t>
      </w:r>
    </w:p>
    <w:p>
      <w:r>
        <w:t>Dans un second moyen, les recourants se prévalent de l’absence de double incrimination.</w:t>
      </w:r>
    </w:p>
    <w:p>
      <w:r>
        <w:rPr>
          <w:b/>
        </w:rPr>
        <w:t>E. 3.1</w:t>
      </w:r>
    </w:p>
    <w:p>
      <w:r>
        <w:t>La remise de documents bancaires est une mesure de contrainte au sens de l’art. 63 al. 2 let. c EIMP, qui ne peut être ordonnée, selon l’art. 64 al. 1 EIMP mis en relation avec la réserve faite par la Suisse à l’art. 5 par.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La coopération judiciaire internationale en matière pénale, 3e éd., Berne 2009, n° 601). La Suisse doit ainsi pouvoir accorder sa collaboration lorsque le soupçon de blanchiment est uniquement fondé sur l’existence de transactions suspectes. Tel est notamment le cas lorsqu’on</w:t>
      </w:r>
    </w:p>
    <w:p>
      <w:r>
        <w:t>- 8 -</w:t>
      </w:r>
    </w:p>
    <w:p>
      <w:r>
        <w:t>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7 par. 1 et 8 CBl (v. ATF 129 II 97 consid. 3.2).</w:t>
      </w:r>
    </w:p>
    <w:p>
      <w:r>
        <w:rPr>
          <w:b/>
        </w:rPr>
        <w:t>E. 3.2</w:t>
      </w:r>
    </w:p>
    <w:p>
      <w:r>
        <w:t>a) En l’espèce, la procédure d'entraide n'a pas été simple. L'autorité d'exécution a dû intervenir auprès des autorités de l'Etat requérant pour obtenir les compléments nécessaires pour la clarification de l'état de fait. En fin de compte, une fois mis en parallèle, la demande initiale du 1er juin 2010 (act. 1.7) et son complément du 19 novembre 2012 (act. 1.16), avec toutes les annexes jointes, permettent d’examiner la condition de la double incrimination. L’autorité requérante indique que sa demande s’inscrit dans le cadre d’une procédure pénale menée en Belgique contre A. aux chefs de blanchiment d’argent et de corruption active. Celle-ci explique par ailleurs que "A. […] a pu utiliser l'avantage patrimonial illégal qu'il aurait obtenu depuis 1988-1990 en effectuant des investissements en Suisse" (act. 1.16, p. 2). Dans la première demande, l'autorité liste un certain nombre d'opérations soit: retraits en liquide par chèques pour des montants importants et avances en compte courant faites à plusieurs sociétés du groupe par A.; prêt lombard de EUR 1'850'000.-- accordé par la banque E. à A., fonds qui auraient ensuite été injectés dans la société fribourgeoise H. S.A.; remboursement du 8 avril 2004 de EUR 2'250'000.-- d’une société I. S.A. à H. S.A.; instructions de transfert de EUR 123'750.-- d’une société J. S.A. à H. S.A.; deux transferts depuis et vers des comptes bancaires contrôlés par A. en Suisse; acquisition le 11 janvier 2008 d’un bien immobilier en France pour un montant de plus de EUR 2,6 millions, avec des fonds provenant de comptes ouverts en Belgique et en France aux noms des membres de la famille T. L'autorité requérante mentionne aussi que les sociétés du groupe contrôlé par la famille T. seraient fréquemment restructurées par des opérations de fusion-absorption et augmentation-réduction du capital, que des retraits "très importants" de cash auraient eu lieu, enfin, que des fonds auraient été "apportés" à H. S.A. "en dehors des circuits bancaires". Elle se réfère aussi à une enquête en France en lien avec l'acquisition susmentionnée d'un bien immobilier au sud de la France, faits dénoncés par le TRACFIN (act. 1.7). Selon la jurisprudence la plus récente du Tribunal fédéral, les valeurs patrimoniales issues d'un acte juridique conclu au moyen de la corruption proviennent d'un crime lorsque le rapport de causalité avec ce dernier est</w:t>
      </w:r>
    </w:p>
    <w:p>
      <w:r>
        <w:t>- 9 -</w:t>
      </w:r>
    </w:p>
    <w:p>
      <w:r>
        <w:t>naturel et adéquat. Elles peuvent alors être l'objet du blanchiment, quand bien même elles ne résultent pas de manière directe et immédiate de l'infraction (cf. ATF 137 IV 79 consid. 3). Cette jurisprudence reflète l'opinion défendue par la doctrine majoritaire (cf. BERNARD BERTOSSA, Confiscation et corruption, SJ 2009 II p. 371 ss, 378; BERTRAND PERRIN, La répression de la corruption d’agents publics étrangers en droit pénal suisse: étude de l’article 322septies du Code pénal et de ses enjeux procéduraux, thèse fribourgeoise, Bâle 2008, p. 273; MARK PIETH, Korruptionsgeldwäsche, in: Wirtschaft und Strafrecht, Festschrift für Niklaus Schmid, Zurich 2001, p. 449; DANIEL JOSITSCH, Das Schweizerische Korruptionsstrafrecht: art. 322ter bis Art. 322octies, Zurich/Bâle/Genève 2004, p. 426 et 533; voir aussi NIKLAUS SCHMID, Kommentar Einziehung, organisiertes Verbrechen, Geldwäscherei, vol. I, 2e éd. 2007, n° 36a ss ad art. 70-72 CP). Ainsi, les biens obtenus par la commission du crime doivent être considérés comme des produits de ce dernier. Les valeurs issues d'un acte juridique conclu au moyen de la corruption représentent donc le résultat du crime, même si l'infraction n'a eu pour effet que de faciliter l'obtention de valeurs patrimoniales par un acte subséquent. Si ensuite des actes sont commis en vue d'entraver l'identification de l'origine, la découverte ou la confiscation de valeurs patrimoniales, il y a blanchiment d'argent au sens de l'art. 305bis CP. En l'occurrence, comme déjà mentionné, les autorités belges ont des doutes sur l'origine du patrimoine de A. et enquêtent sur des investissements effectués par ce dernier à la fin des années 80, début des années 90, en lien avec la construction de modules d'un centre commercial à Y. (Belgique). L'autorité investigue également sur des actes de corruption commis en violation de règles sur l'aménagement du territoire. En annexe au complément du 19 novembre 2012, l'autorité requérante a remis plusieurs documents, notamment un procès-verbal de synthèse de l'Office central pour la répression de la corruption du 26 septembre 2011 qui relate les circonstances dans lesquelles le centre commercial litigieux a été construit. Ce procès-verbal indique que "le pouvoir politique avait connaissance de l'obligation d'établir un schéma directeur préalablement à la construction de K. […] on en déduit que le pouvoir politique en place à Y. (Belgique) s'est rendu complice de cette construction illégale de K." (cf. act. 1.16, p. 2/12). Aux pages 7 ss, sont évoquées les relations entre A. et l'ancien maire de Y. (Belgique), L., ainsi que les interventions politiques dont le premier aurait profité. Le magistrat belge a remis aussi une tabelle illustrant comment les investigateurs ont calculé, sur chaque module construit, l'actif illégal présumé. En l'occurrence, cet actif s'élève au total au minimum à EUR 16'254'659.-- et au maximum à EUR 44'478'136.--. Il convient de préciser que le procès-verbal en question fait par ailleurs</w:t>
      </w:r>
    </w:p>
    <w:p>
      <w:r>
        <w:t>- 10 -</w:t>
      </w:r>
    </w:p>
    <w:p>
      <w:r>
        <w:t>référence à des actes de corruption privée, d'une part, survenus entre le 1er janvier 2000 et le 15 septembre 2008 (cf. annexe à act. 1.16) et, d'autre part, de blanchiment commis entre le 1er septembre 2007 et le 18 juillet 2008 (ibidem). Enfin, le complément du 19 novembre 2012 indique que A. est sur le point d'acquérir d'autres terrains de la zone litigieuse (cf. act. 1.16, p. 2). La question de la double incrimination doit être examinée sur le vu des faits exposés par l'autorité requérante et sur la seule base des soupçons à l'encontre des personnes poursuivies. L'autorité requise se borne à transposer les faits décrits dans la demande comme s'ils s'étaient produits en Suisse (ATF 132 Il 81 consid. 2.7.2; 129 Il 462 consid. 4.4). En l'espèce, si les soupçons évoqués devaient être confirmés, les biens obtenus par la commission d'actes de corruption – et même ceux qui l'auraient été indirectement et qui seraient en rapport de causalité naturel et adéquat avec eux – seraient, ainsi, d'origine criminelle (cf. références citées plus haut). En se fondant sur le principe que le blanchiment est notamment une entrave à la confiscation, si des actes ont été commis avec l'effet prohibé par l'art. 305bis CP, l'infraction de blanchiment serait en conséquence réalisée. Cela suffit pour admettre qu'il y a double incrimination. b) Sous l’angle de la présentation des faits, lacunaire selon les recourants (voir supra consid. 2), s’agissant de possibles actes de corruption, la demande d'entraide est suffisante, étant rappelé que les faits à la base d'une demande d'entraide peuvent ressortir de ses annexes (art. 9 al. 1 OEIMP) – comme cela est le cas en l'espèce, et que le droit conventionnel n'exigerait même pas qu'ils soient présentés dans une requête d'entraide (cf. art. 27 al. 1 let. c CBl). Quant aux actes de blanchiment, il est vrai que les transactions mises en évidence dans la demande sont exposées dans un certain désordre, parfois sans donner de date; des soupçons d'ordre fiscal sont par ailleurs évoqués (voir act. 1.7). Il est vrai aussi que l'autorité requérante ne mentionne pas clairement quels montants auraient été blanchis et s'il existe un lien de causalité avec les actes de corruption remontant à de lointaines années, comme l'exige l'ATF 137 IV 79 précité. Toutefois, cela paraît difficile tant la structure financière mise en place semble en l'occurrence sophistiquée, reposant sur des relations de parenté entre les intéressés et entre de multiples sociétés (treize, sises dans divers pays). L'autorité belge est plus précise s'agissant de l'une d'entre elles, soit H. S.A., sise en Suisse, à qui des fonds auraient été remis en espèce par A. et par ses enfants, et qui les aurait ensuite prêtés à une société luxembourgeoise, pour les reverser à des sociétés belges contrôlées par A. Elle invoque aussi des investissements immobiliers en France, objet d'une enquête pénale dans ce pays.</w:t>
      </w:r>
    </w:p>
    <w:p>
      <w:r>
        <w:t>- 11 -</w:t>
      </w:r>
    </w:p>
    <w:p>
      <w:r>
        <w:t>Ainsi, si elle n'est pas particulièrement détaillée, la demande expose son objet de manière suffisante. Elle contient assez d'éléments de nature à corroborer la suspicion que A. a fait transférer à l'étranger (dont en Suisse) des montants qui pourraient être le résultat d'actes délictueux commis dans l'Etat requérant. A ce stade, il convient de rappeler que les actes de corruption pourraient non seulement avoir été commis à la fin des années 80, début des années 90, mais aussi entre le 1er janvier 2000 et le 15 septembre 2008, tel que cela ressort du procès-verbal de synthèse de l'Office central pour la répression de la corruption du 26 septembre 2011 (voir supra). c) Enfin, les recourants contestent aussi le caractère insolite des transactions et s'en expliquent. Outre qu'il s'agit là d'une argumentation à décharge – irrecevable – au sujet des effets possibles prohibés par l'art. 305bis CP (entraver l'identification de l'origine, la découverte ou la confiscation de valeurs patrimoniales), l'argument porte à faux. Il sera du ressort du juge du fond de déterminer quels actes sont susceptibles de constituer du blanchiment. Du reste, rien ne permet de penser qu'en l'occurrence, l'autorité requérante considère chaque opération présentée dans la commission rogatoire comme un acte de blanchiment d'argent.</w:t>
      </w:r>
    </w:p>
    <w:p>
      <w:r>
        <w:rPr>
          <w:b/>
        </w:rPr>
        <w:t>E. 3.3</w:t>
      </w:r>
    </w:p>
    <w:p>
      <w:r>
        <w:t>Mal fondé, le grief lié à l’absence de double incrimination doit ainsi être rejeté.</w:t>
      </w:r>
    </w:p>
    <w:p>
      <w:r>
        <w:rPr>
          <w:b/>
        </w:rPr>
        <w:t>E. 4</w:t>
      </w:r>
    </w:p>
    <w:p>
      <w:r>
        <w:t>Dans un troisième moyen, les recourants invoquent l’existence de défauts graves qui affecteraient la procédure belge en violation de l’art. 2 let. d EIMP ainsi que la violation du principe de la bonne foi entre les Etats. D’après eux, certaines des personnes chargées de l’enquête belge entretiendraient ou auraient entretenu des relations personnelles avec les membres de la famille T., ayant pour conséquence "un mélange des genres incompatible avec une saine administration de la justice".</w:t>
      </w:r>
    </w:p>
    <w:p>
      <w:r>
        <w:rPr>
          <w:b/>
        </w:rPr>
        <w:t>E. 4.1</w:t>
      </w:r>
    </w:p>
    <w:p>
      <w:r>
        <w:t>A teneur de l’art. 2 EIMP, la demande d’entraide est irrecevable si la procédure à l’étranger n’est pas conforme aux principes de procédure fixés par la Convention européenne de sauvegarde des droits de l’homme et des libertés fondamentales du 4 novembre 1950 (CEDH; RS 0.101) ou par le Pacte international relatif aux droits civils et politiques du 16 décembre 1966 (Pacte ONU II; RS 0.103.2) (let. a) ou tend à poursuivre une personne en raison de ses opinions politiques (let. b). La demande de coopération est également irrecevable lorsque la procédure dans l’Etat requérant présente d’autres défauts graves (art. 2 let. d EIMP).</w:t>
      </w:r>
    </w:p>
    <w:p>
      <w:r>
        <w:t>- 12 -</w:t>
      </w:r>
    </w:p>
    <w:p>
      <w:r>
        <w:t>Lorsque l'Etat requérant demande l'entraide judiciaire et notamment la remise de documents bancaires, peut invoquer l'art. 2 EIMP l'accusé se trouvant sur le territoire de l'Etat requérant (ATF 129 II 268 consid. 6.1; 125 II 356 consid. 8; 123 II 161 consid. 6) et qui peut démontrer être concrètement exposé au risque de mauvais traitements ou de violation de ses droits de procédure (ATF 129 II 268 consid. 6.1; 126 II 324 consid. 4e). En revanche, n'est pas recevable à se plaindre de la violation de l'art. 2 EIMP celui qui se trouve à l'étranger ou qui réside sur le territoire de l'Etat requérant sans y courir aucun danger (ATF 129 II 268 consid. 6.1; 126 II 324 consid. 4e; 125 II 356 consid. 8).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511 consid. 5b; 122 II 373 consid. 2a; 112 Ib 215 consid. 7 p. 224; 109 Ib 64 consid. 6b/aa; 108 Ib 408 consid. 8b/bb).</w:t>
      </w:r>
    </w:p>
    <w:p>
      <w:r>
        <w:rPr>
          <w:b/>
        </w:rPr>
        <w:t>E. 4.2</w:t>
      </w:r>
    </w:p>
    <w:p>
      <w:r>
        <w:t>Les recourants affirment que l’inspecteur chargé d’enquêter sur plusieurs affaires visant A. et qui est intervenu dans l’exécution des commissions rogatoires adressées à la Suisse serait le compagnon d’une certaine M., dont l’ex-mari N. est le compagnon de D., visée par la demande d’entraide, M. étant par ailleurs juge d’instruction à Y. (Belgique). De plus, les recourants prétendent que ce même inspecteur aurait "selon toute vraisemblance transmis des informations couvertes par le secret de fonction de l’instruction" à un journaliste et qu’il serait l’auteur de la dénonciation anonyme ayant mené la Belgique à indiquer dans la commission rogatoire que A. est titulaire d’un compte ouvert auprès de la banque O. de Z. Néanmoins, les recourants n’étayent pas leurs propos ni ne démontrent en quoi ces éléments seraient constitutifs d’"autres défauts graves" de la procédure au sens de l’art. 2 let. d EIMP. Cette notion doit être manipulée avec retenue, ce d’autant plus à l’égard d’un Etat comme la Belgique, partie à la CEDH et lié à la Suisse par la CEEJ, à l’égard duquel le principe de la confiance réciproque trouve application. En l’espèce, les éléments invoqués par les recourants portant sur la procédure belge</w:t>
      </w:r>
    </w:p>
    <w:p>
      <w:r>
        <w:t>- 13 -</w:t>
      </w:r>
    </w:p>
    <w:p>
      <w:r>
        <w:t>n’apparaissent pas, à eux seuls, comme susceptibles de renverser la présomption de bonne foi dont jouit l'Etat requérant en matière d’entraide judiciaire internationale et ne peuvent ainsi constituer un obstacle à l’entraide. Ils pourront, le cas échéant, être invoqués devant les autorité belges compétentes.</w:t>
      </w:r>
    </w:p>
    <w:p>
      <w:r>
        <w:rPr>
          <w:b/>
        </w:rPr>
        <w:t>E. 4.3</w:t>
      </w:r>
    </w:p>
    <w:p>
      <w:r>
        <w:t>Partant, le troisième grief invoqué par les recourants doit être rejeté.</w:t>
      </w:r>
    </w:p>
    <w:p>
      <w:r>
        <w:rPr>
          <w:b/>
        </w:rPr>
        <w:t>E. 5</w:t>
      </w:r>
    </w:p>
    <w:p>
      <w:r>
        <w:t>Dans un quatrième moyen, les recourants reprochent à l’autorité d’exécution une violation du principe de la proportionnalité, en tant que la commission rogatoire ne permettrait pas d’identifier de "lien de connexité entre d’éventuelles infractions pénales et les mesures requises des autorités suisses". De plus, les documents à remettre à l’autorité requérante n’auraient aucun rapport avec les faits décrits dans la commission rogatoire, et cela déjà sous l’aspect temporel. La demande d’entraide constituerait ainsi une recherche indéterminée de moyens de preuve.</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w:t>
      </w:r>
    </w:p>
    <w:p>
      <w:r>
        <w:rPr>
          <w:b/>
        </w:rPr>
        <w:t>E. 5.2</w:t>
      </w:r>
    </w:p>
    <w:p>
      <w:r>
        <w:t>Sous l'angle de la proportionnalité, les recourants expliquent que "les documents dont la remise est ordonnée n'ont aucun rapport avec [les infractions de corruption à la fin des années 80], ne serait-ce que sous l'aspect temporel". Selon eux, "il n'est guère probable que d'hypothétiques fonctionnaires corrompus à la fin des années 80 aient attendu de nombreuses années pour obtenir le prix de leurs services". Il est exact que les comptes dont la transmission de la documentation bancaire est prévue ont été ouverts au plus tôt en 1996 et 1998. Il aura cependant échappé aux recourants que des actes de corruption pourraient aussi avoir été commis entre le 1er janvier 2000 et le 15 septembre 2008 (voir supra), soit à une période qui, précisément, correspond à la période où les comptes litigieux étaient actifs. Quoiqu'il en soit, si les comptes en question n'ont finalement pas été utilisés à des fins de blanchiment, l'autorité requérante doit être en mesure de le vérifier par elle-même. En effet, la commission rogatoire porte sur les membres de la famille T. et les différentes sociétés qu’ils contrôlent et a pour but explicite l’identification et la production de la documentation bancaire relative aux divers comptes contrôlés notamment par feu F., A., B., C. et D. Tel est le cas des comptes n° 4, n° 5, n° 7 et n° 8 dont A. est titulaire, du compte n° 3 qui a pour co-titulaires A. et B., du compte n° 6 qui a pour co-titulaires A. et C., du compte n° 9 dont le titulaire est D., du compte n° 1 qui avait pour titulaire feu F. ainsi que du compte n° 2 ouvert aux noms de feu F. et de A. Ainsi, au regard de la jurisprudence rappelée ci-dessus, la transmission de la documentation bancaire relative à ces comptes se justifie.</w:t>
      </w:r>
    </w:p>
    <w:p>
      <w:r>
        <w:rPr>
          <w:b/>
        </w:rPr>
        <w:t>E. 5.3</w:t>
      </w:r>
    </w:p>
    <w:p>
      <w:r>
        <w:t>Le grief doit ainsi être rejeté.</w:t>
      </w:r>
    </w:p>
    <w:p>
      <w:r>
        <w:t>- 16 -</w:t>
      </w:r>
    </w:p>
    <w:p>
      <w:r>
        <w:t>6. Dans un dernier moyen, les recourants se prévalent de la règle interdisant la remise à l’Etat requérant des décisions de l’autorité d’exécution et des écritures des parties à la procédure d’entraide. 6.1 Les actes de recours et autres écritures adressés par les parties aux autorités d'exécution de l'Etat requis, tout comme les décisions rendues pendant la procédure d’entraide et à l'issue de celle-ci ne doivent en principe pas être transmis aux autorités de l'Etat requérant, lequel n'est pas partie à la procédure d'entraide. En effet, la personne touchée par l'exécution d'une demande d'entraide ne serait plus à même de se défendre efficacement contre les prétentions de l'Etat requérant, si toute pièce sur laquelle elle entend fonder ses moyens d'opposition était susceptible d'être transmise à l'étranger (ATF 115 Ib 193 consid. 6; arrêts du Tribunal fédéral 1A.86/2006 du 4 juillet 2006, consid. 3.1; 1A.87/1988 du 26 septembre 1988; arrêts du Tribunal pénal fédéral RR.2013.26 du 3 juillet 2013, consid. 4; RR.2011.215 du 29 mars 2012, consid. 1.7; RR.2010.260 du 19 septembre 2011, consid. 5.5). Cette jurisprudence s'applique avant tout aux actes de procédure proprement dits (mémoires de recours et pièces annexées), et elle n'exclut pas la transmission d'autres pièces, qui font précisément l'objet de la demande d'entraide et dont la saisie pourrait de toute façon être ordonnée si elles n'avaient pas été remises spontanément (arrêt du Tribunal fédéral 1A.195/1997 du 5 septembre 1997). Lorsque les pièces proviennent du dossier de la procédure nationale, elles peuvent être transmises, la jurisprudence précitée ne trouvant pas application (arrêt du Tribunal pénal fédéral RR.2007.118 du 30 octobre 2007, consid. 7). 6.2 En l’espèce, la décision de clôture prévoit, à son chiffre 5, 2e tiret, une notification "dès l’entrée en force, à Madame la Juge d’instruction G. près le Tribunal de Première instance de Y. (Belgique) […], dossier […], avec les documents à transmettre ainsi que le formulaire relatif à la réserve de spécialité, par lettre recommandée avec accusé de réception". Le MP-FR a concédé qu’il s’agissait là d’une erreur, en concluant à l’annulation de la décision querellée sur ce point (réponse du MP-FR au recours, conclusion II, act. 7). Au regard de la jurisprudence rappelée ci-dessus, force est de constater que la décision de clôture n’a pas à être notifiée à l’autorité requérante. Quant aux documents bancaires, il relève des tâches de l’OFJ, et non pas de celles de l’autorité cantonale d’exécution, de procéder à leur transmission à l’autorité requérante. 6.3 Le grief est, partant, admis. Le chiffre 5, 2e tiret de la décision de clôture doit être annulé.</w:t>
      </w:r>
    </w:p>
    <w:p>
      <w:r>
        <w:t>- 17 -</w:t>
      </w:r>
    </w:p>
    <w:p>
      <w:r>
        <w:t>7. Au vu de ce qui précède, le recours se révèle fondé en tant qu'il a trait à la question de la notification à l’autorité requérante de la décision de clôture ainsi que la remise des pièces par le MP-FR. Il est admis sur ce point et rejeté pour le surplus. 8.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et au vu du fait que les recourants obtiennent partiellement gain de cause, un émolument réduit sera mis à leur charge. Ledit émolument sera fixé à CHF 6'000.--. La caisse du Tribunal pénal fédéral restituera aux recourants le solde par CHF 2'000.--. 9. 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des recourants n’a pas produit de liste des opérations effectuées. Vu l’ampleur et la difficulté relatives de la cause et dans les limites admises par le règlement du Tribunal pénal fédéral du 31 août 2010 sur les frais, émoluments, dépens et indemnités de la procédure pénale fédérale (RFPPF; RS 173.713.162), l’indemnité est fixée ex aequo et bono à CHF 800.-- (TVA comprise), à la charge de la partie adverse.</w:t>
      </w:r>
    </w:p>
    <w:p>
      <w:r>
        <w:t>- 18 -</w:t>
      </w:r>
    </w:p>
    <w:p>
      <w:r>
        <w:rPr>
          <w:b/>
        </w:rPr>
        <w:t>E. 10</w:t>
      </w:r>
    </w:p>
    <w:p>
      <w:r>
        <w:t>février 2010, consid. 4.1). Sur cette base, peuvent aussi être transmis des renseignements et des documents non mentionnés dans la demande (TPF 2009 161 consid. 5.2; arrêts du Tribunal pénal fédéral RR.2010.39 du</w:t>
      </w:r>
    </w:p>
    <w:p>
      <w:r>
        <w:t>- 14 -</w:t>
      </w:r>
    </w:p>
    <w:p>
      <w:r>
        <w:t>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Belgique.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w:t>
      </w:r>
    </w:p>
    <w:p>
      <w:r>
        <w:t>- 15 -</w:t>
      </w:r>
    </w:p>
    <w:p>
      <w:r>
        <w:t>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