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RR.2013.78 vom 28. Juni 2013</w:t>
      </w:r>
    </w:p>
    <w:p>
      <w:r>
        <w:t>Bundesstrafgericht, 2013-06-28, FR</w:t>
      </w:r>
    </w:p>
    <w:p>
      <w:r>
        <w:rPr>
          <w:b/>
        </w:rPr>
        <w:t xml:space="preserve">Quelle: </w:t>
      </w:r>
      <w:r>
        <w:t>https://mcp.opencaselaw.ch/entscheid/bstger_RR.2013.78</w:t>
      </w:r>
    </w:p>
    <w:p>
      <w:r>
        <w:t>FR: TPF RR.2013.78 du 28 juin 2013</w:t>
      </w:r>
    </w:p>
    <w:p>
      <w:r>
        <w:t>IT: TPF RR.2013.78 del 28 giugno 2013</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 Royaume des Pays-Bas et la Confédération suisse est prioritairement régie par la Convention européenne d’entraide judiciaire en matière pénale (CEEJ; RS 0.351.1). A compter du 12 décembre 2008, les art. 48 ss de la Convention d’application de l’Accord Schengen du 14 juin 1985 (CAAS; n° CELEX 42000A0922(02); Journal of- ficiel de l’Union européenne L 239 du 22 septembre 2000, p. 19 à 62) s’appliquent également à l’entraide pénale entre la Suisse et le Royaume des Pays-Bas (v. arrêt du Tribunal pénal fédéral RR.2008.98 du 18 décembre 2008, consid. 1.3). Peut également s'appliquer en l'occurren- ce la Convention n° 141 du Conseil de l'Europe relative au blanchiment, au dépistage, à la saisie et à la confiscation des produits du crime (CBI; RS 0.311.53), entrée en vigueur tant pour la Suisse que pour les Pays-Bas le 1er septembre 1993. Les dispositions de ces traités l’emportent sur le droit autonome qui régit la matière, soit la loi fédérale sur l’entraide internationa- le en matière pénale (EIMP; RS 351.1) et son ordonnance d’exécution (OEIMP; RS 351.11). Le droit interne reste toutefois applicable aux ques- 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 nationales (v. art. 48 ch. 2 CAAS et 39 ch. 2 CBl). L’application de la norme la plus favorable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d’exécution.</w:t>
      </w:r>
    </w:p>
    <w:p>
      <w:r>
        <w:rPr>
          <w:b/>
        </w:rPr>
        <w:t>E. 1.3</w:t>
      </w:r>
    </w:p>
    <w:p>
      <w:r>
        <w:t>Formé dans les trente jours à compter de la notification de l’ordonnance at- taquée, le recours est déposé en temps utile (art. 80k EIMP).</w:t>
      </w:r>
    </w:p>
    <w:p>
      <w:r>
        <w:rPr>
          <w:b/>
        </w:rPr>
        <w:t>E. 1.4</w:t>
      </w:r>
    </w:p>
    <w:p>
      <w:r>
        <w:t>Selon l’art. 80h let. b EIMP, a qualité pour agir quiconque est touché per- sonnellement et directement par une mesure d’entraide et dispose d’un in- térêt digne de protection à ce qu’elle soit annulée ou modifiée. L’art. 9a let. a OEIMP précise qu’est en particulier réputé personnellement et direc-</w:t>
      </w:r>
    </w:p>
    <w:p>
      <w:r>
        <w:t>- 5 -</w:t>
      </w:r>
    </w:p>
    <w:p>
      <w:r>
        <w:t>tement touché, au sens des art. 21 al. 3 et 80h EIMP, le titulaire d’un comp- te bancaire en cas d’informations sur celui-ci. Dans ces conditions, le re- courant, titulaire du compte concerné par la transmission de documents, a qualité pour recourir.</w:t>
      </w:r>
    </w:p>
    <w:p>
      <w:r>
        <w:rPr>
          <w:b/>
        </w:rPr>
        <w:t>E. 2</w:t>
      </w:r>
    </w:p>
    <w:p>
      <w:r>
        <w:t>Le recourant fait valoir que la documentation litigieuse serait irrelevante et inutile pour la procédure étrangère (act. 1, p. 5) et allègue que son compte serait entièrement étranger au complexe de faits sous enquête au Pays- Bas. Preuve en serait le fait qu'il n'aurait jamais entretenu de rapports avec les personnes sous enquête au Pays-Bas ou avec les sociétés D. et E., que son compte aurait été alimenté en grande partie par d'autres sources que le compte de la société H. et qu'il n'y aurait pas de lien chronologique entre les versements suspects intervenus en faveur de ce dernier compte et les transferts subséquents effectués, bien postérieurement, au crédit de la relation bancaire dont il était titulaire (act. 1, p. 5 s.). En outre, les fonds versés à partir du compte de la société H. correspondaient au paiement d'honoraires en relation avec des ventes immobilières opérées, par l'inter- médiaire de A., K. et L., ayants droit économiques de ladite relation bancai- re (act. 1, p. 8).</w:t>
      </w:r>
    </w:p>
    <w:p>
      <w:r>
        <w:rPr>
          <w:b/>
        </w:rPr>
        <w:t>E. 2.1</w:t>
      </w:r>
    </w:p>
    <w:p>
      <w:r>
        <w:t>Il sied préliminairement de souligner que les éléments invoqués par le re- courant concernant son extranéité quant aux faits investigués par les auto- rités néerlandaises ne sont pas relevants dans le cadre de la présente pro- cédure. En effet, il appartiendra au juge du fond d'établir la responsabilité éventuelle du recourant, l'argumentation à décharge n'ayant pas sa place dans le cadre de la procédure d'entraide (ATF 123 II 279 consid. 2b; arrêt du Tribunal fédéral 1A.174/2006 du 2 octobre 2006, consid. 4.5; arrêt du Tribunal pénal fédéral RR.2012.27 du 2 mars 2012, consid. 4.3).</w:t>
      </w:r>
    </w:p>
    <w:p>
      <w:r>
        <w:rPr>
          <w:b/>
        </w:rPr>
        <w:t>E. 2.2.1</w:t>
      </w:r>
    </w:p>
    <w:p>
      <w:r>
        <w:t>S'agissant de la pertinence des documents dont est ordonnée la transmis- sion, il convient de rappeler que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 festement sans rapport avec l’infraction poursuivie et impropres à faire pro-</w:t>
      </w:r>
    </w:p>
    <w:p>
      <w:r>
        <w:t>- 6 -</w:t>
      </w:r>
    </w:p>
    <w:p>
      <w:r>
        <w:t>gresser l’enquête, de sorte que la demande apparaît comme le prétexte à une recherche indéterminée de moyens de preuve (ATF 122 II 367 con- 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 met aussi d’éviter d’éventuelles demandes complémentaires (ATF 121 II 241 consid. 3a; arrêt du Tribunal pénal fédéral RR.2009.286-287 du 10 fé- 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 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2.2.2</w:t>
      </w:r>
    </w:p>
    <w:p>
      <w:r>
        <w:t>En l'espèce, le MPC a considéré que la documentation bancaire du compte litigieux était nécessaire à la procédure étrangère en retenant qu'il ne pou-</w:t>
      </w:r>
    </w:p>
    <w:p>
      <w:r>
        <w:t>- 7 -</w:t>
      </w:r>
    </w:p>
    <w:p>
      <w:r>
        <w:t>vait être exclu que le recourant ait été l'un des bénéficiaires finaux ou à tout le moins un maillon intermédiaire de la structure frauduleuse mise sur pied par B. L'autorité d'exécution a en effet établi que la relation bancaire préci- tée a reçu deux versements, pour un total de EUR 1'500'000 (EUR 500'000 le 9 octobre 2006 et EUR 1'000'000 le 30 janvier 2008), de la part du comp- te de la société H. lequel aurait à son tour été le bénéficiaire, entre août 2006 et janvier 2007, de paiements présumés illicites en provenance des sociétés "In-House". Ainsi, indépendamment du fait que l'un des crédits liti- gieux effectués à partir du compte de la société H. a été opéré plus d'une année après l'entrée sur cette relation des fonds en provenance des socié- tés "In-House", force est de constater qu'il existe bel et bien un lien entre la relation bancaire dont est titulaire le recourant et l'état de fait sous enquête aux Pays-Bas. Il ne fait nul doute, par conséquent, que les informations re- latives au compte du recourant seront utiles à l'autorité d'enquête en vue d'établir le cheminement des flux patrimoniaux ainsi que l'éventuelle impli- cation pénale des différents intervenants. L'utilité et l'intérêt de ces pièces sont d'ailleurs confirmés par la demande de l'autorité requérante formulée lors de la consultation des documents relatifs au compte de la société H. et consignée dans une note du 3 mai 2012 (act. 6.8). Les fonctionnaires étrangers ont en effet requis à cette occasion l'obtention de la documenta- tion bancaire concernant les différents comptes en Suisse destinataires des débits effectués à partir de la relation bancaire détenue par la société H. L'argument du recourant ne saurait ainsi trouver d'assise.</w:t>
      </w:r>
    </w:p>
    <w:p>
      <w:r>
        <w:rPr>
          <w:b/>
        </w:rPr>
        <w:t>E. 3</w:t>
      </w:r>
    </w:p>
    <w:p>
      <w:r>
        <w:t>Ce dernier conclut, subsidiairement, à ce que l'entraide soit uniquement oc- troyée en relation avec les documents d'ouverture du compte et les justifi- catifs relatifs aux deux opérations de crédits en provenance du compte dé- tenu par la société H. Il y a à cet égard lieu de souligner que ce ne sont pas uniquement ces documents qui sont susceptibles d'être relevants pour les autorités néerlandaises mais que l'ensemble des informations concernant le compte impliqué, et notamment les renseignements quant à d'autres crédits et débits intervenus sur celui-ci, pourrait également être utile auxdi- tes autorités afin en particulier de déterminer si d'autres opérations suspec- tes ont eu lieu sur cette relation bancaire. Cette approche résulte au de- meurant conforme aux règles fixées par la jurisprudence dans le cadre de la transmission de documents bancaires (supra consid. 2.2.1).</w:t>
      </w:r>
    </w:p>
    <w:p>
      <w:r>
        <w:rPr>
          <w:b/>
        </w:rPr>
        <w:t>E. 4</w:t>
      </w:r>
    </w:p>
    <w:p>
      <w:r>
        <w:t>Au surplus, les autres conditions de l'entraide apparaissent données, no- tamment celle de la double punissabilité (les faits exposés par l'autorité re- quérante pouvant correspondre, en droit suisse, aux infractions de blan-</w:t>
      </w:r>
    </w:p>
    <w:p>
      <w:r>
        <w:t>- 8 -</w:t>
      </w:r>
    </w:p>
    <w:p>
      <w:r>
        <w:t>chiment d'argent, art. 305bis CP, ainsi que de gestion déloyale, art. 158 CP, voire d'escroquerie, art. 146 al. 1 CP; v. à cet égard l'arrêt du Tribunal pé- nal fédéral RR.2013.56 du 27 juin 2013, consid. 4.2 et 4.3.).</w:t>
      </w:r>
    </w:p>
    <w:p>
      <w:r>
        <w:rPr>
          <w:b/>
        </w:rPr>
        <w:t>E. 5</w:t>
      </w:r>
    </w:p>
    <w:p>
      <w:r>
        <w:t>Les considérants qui précèdent conduisent ainsi au rejet du recours.</w:t>
      </w:r>
    </w:p>
    <w:p>
      <w:r>
        <w:rPr>
          <w:b/>
        </w:rPr>
        <w:t>E. 6</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Le recou- rant qui succombe supportera ainsi les frais du présent arrêt, lesquels se li- miteront à un émolument fixé à CHF 4'000.-- (art. 73 al. 2 LOAP et art. 8 al. 3 du règlement du Tribunal pénal fédéral sur les frais, émoluments, dépens et indemnités de la procédure pénale fédérale du 31 août 2010 [REPPF; RS 173.713.162] et art. 63 al. 5 PA),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