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RR.2013.73 vom 6. August 2013</w:t>
      </w:r>
    </w:p>
    <w:p>
      <w:r>
        <w:t>Bundesstrafgericht, 2013-08-06, FR</w:t>
      </w:r>
    </w:p>
    <w:p>
      <w:r>
        <w:rPr>
          <w:b/>
        </w:rPr>
        <w:t xml:space="preserve">Quelle: </w:t>
      </w:r>
      <w:r>
        <w:t>https://mcp.opencaselaw.ch/entscheid/bstger_RR.2013.73</w:t>
      </w:r>
    </w:p>
    <w:p>
      <w:r>
        <w:t>FR: TPF RR.2013.73 du 6 août 2013</w:t>
      </w:r>
    </w:p>
    <w:p>
      <w:r>
        <w:t>IT: TPF RR.2013.73 del 6 agosto 2013</w:t>
      </w:r>
    </w:p>
    <w:p>
      <w:pPr>
        <w:pStyle w:val="Heading2"/>
      </w:pPr>
      <w:r>
        <w:t>Regeste</w:t>
      </w:r>
    </w:p>
    <w:p>
      <w:r>
        <w:t>Entraide internationale en matière pénale à la Fédération de Russie. Remise de moyens de preuve (art. 74 EIMP) et saisie conservatoire (art. 33a OEIMP).</w:t>
      </w:r>
    </w:p>
    <w:p>
      <w:pPr>
        <w:pStyle w:val="Heading2"/>
      </w:pPr>
      <w:r>
        <w:t>Erwägungen</w:t>
      </w:r>
    </w:p>
    <w:p>
      <w:r>
        <w:rPr>
          <w:b/>
        </w:rPr>
        <w:t>E. 1</w:t>
      </w:r>
    </w:p>
    <w:p>
      <w:r>
        <w:t>L’entraide judiciaire entre la Confédération suisse et la Fédération de Rus- sie est régie en premier lieu par la Convention européenne d’entraide judi- ciaire en matière pénale (CEEJ; 0.351.1). Peut également s'appliquer en l'occurrence la Convention n° 141 du Conseil de l’Europe relative au blan- 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 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t>- 6 -</w:t>
      </w:r>
    </w:p>
    <w:p>
      <w:r>
        <w:rPr>
          <w:b/>
        </w:rPr>
        <w:t>E. 1.2</w:t>
      </w:r>
    </w:p>
    <w:p>
      <w:r>
        <w:t>Formé dans les trente jours à compter de la notification de l’ordonnance at- taquée, le recours est déposé en temps utile (art. 80k EIMP).</w:t>
      </w:r>
    </w:p>
    <w:p>
      <w:r>
        <w:rPr>
          <w:b/>
        </w:rPr>
        <w:t>E. 1.3</w:t>
      </w:r>
    </w:p>
    <w:p>
      <w:r>
        <w:t>Selon l'art. 80h let. b EIMP, la qualité pour recourir contre une mesure d'en- traide judiciaire est reconnue à celui qui est personnellement et directement touché par la mesure d’entraide. La personne visée par la procédure péna- 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Exceptionnellement la qualité pour agir est reconnue à l'ayant droit d'une société titulaire de compte lorsque celle- ci a été dissoute, sous réserve de l'abus de droit (ATF 123 II 153 consid. 2c et dd). Il appartient dans ce cas à l'ayant droit de prouver la liquidation, do- cuments officiels à l'appui (arrêts du Tribunal fédéral 1A.10/2000 du 18 mai 2000, consid. 1e, in Praxis 2000 no 133 p. 790 ss;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 Le Tribunal fédéral a toutefois récemment eu l'occasion de préciser que la preuve de la liquidation de la société en faveur de l'ayant droit économique pouvait être apportée par d'autres moyens que la seule attestation de dissolution (arrêt du Tribunal fédéral 1C_370/2012 du</w:t>
      </w:r>
    </w:p>
    <w:p>
      <w:r>
        <w:rPr>
          <w:b/>
        </w:rPr>
        <w:t>E. 1.3.1</w:t>
      </w:r>
    </w:p>
    <w:p>
      <w:r>
        <w:t>Titulaire du compte concerné par la transmission de documents et le sé- questre, A. Ltd dispose, en application des règles ci-dessus rappelées, de la qualité pour recourir s'agissant de la transmission de la documentation relative à son compte et le séquestre des avoirs déposés sur celui-ci.</w:t>
      </w:r>
    </w:p>
    <w:p>
      <w:r>
        <w:rPr>
          <w:b/>
        </w:rPr>
        <w:t>E. 1.3.2</w:t>
      </w:r>
    </w:p>
    <w:p>
      <w:r>
        <w:t>Il en va différemment de B. Inc. et C. Ltd. Ces dernières étaient en effet dissoutes et liquidées lors du dépôt du recours (act. 1.2, p. 7 et act. 1.3, p. 7) de sorte qu'elles ne disposaient pas à ce moment, ni d'ailleurs à ce jour, de la personnalité juridique. Or, l'absence de personnalité entraîne l'absence de capacité d'ester en justice et, partant, l'irrecevabilité de leur</w:t>
      </w:r>
    </w:p>
    <w:p>
      <w:r>
        <w:t>- 7 -</w:t>
      </w:r>
    </w:p>
    <w:p>
      <w:r>
        <w:t>recours (arrêt du Tribunal pénal fédéral RR.2012.160 du 10 octobre 2012, consid. 1.3.2 b/cc).</w:t>
      </w:r>
    </w:p>
    <w:p>
      <w:r>
        <w:rPr>
          <w:b/>
        </w:rPr>
        <w:t>E. 1.3.3</w:t>
      </w:r>
    </w:p>
    <w:p>
      <w:r>
        <w:t>D. fonde sa légitimation à recourir sur sa qualité d'unique ayant droit éco- nomique des deux sociétés dissoutes B. Inc. et C. Ltd (act. 1, p. 4 et act. 13, p. 2). En guise de moyen de preuve, il fournit dans ce contexte les formulaires A des comptes clôturés de ces dernières, sur lesquels il est dé- signé en tant qu'ayant droit économique (act. 5.2 et 5.3), ainsi qu'un certifi- cat de dissolution du Registrar of Corporate Affairs des Iles Vierges britan- niques relatif à B. Inc. (act. 13.3) et un certificat du Registrar of Companies de Nicosia attestant la radiation dudit registre de la société C. Ltd. (act. 13.4). Il y a tout d'abord lieu de souligner qu'il existe en l'espèce des zones d'ombre quant au processus de dissolution voire de liquidation de ces deux entités. Aucune indication n'a été fournie par le recourant en rela- tion avec la période de leur liquidation. Les certificats produits concernent en effet la dissolution respectivement la radiation du registre des sociétés sans qu'aucune pièce ne soit toutefois soumise en relation à la liquidation en tant que telle. Le MPC relève dans les décisions attaquées que cette dernière serait intervenue en 2010, sans plus de précisions (act. 1.2, § 32 et act. 1.3 § 31). Toutefois, s'agissant de C. Ltd, il ressort du certificat pro- duit que cette société a été radiée du Registrar of Companies en date du</w:t>
      </w:r>
    </w:p>
    <w:p>
      <w:r>
        <w:rPr>
          <w:b/>
        </w:rPr>
        <w:t>E. 1.3.4</w:t>
      </w:r>
    </w:p>
    <w:p>
      <w:r>
        <w:t>Il résulte de ce qui précède que le seul pan du recours sur lequel la Cour de céans est en mesure d'entrer en matière est celui concernant la docu- mentation bancaire du compte de la société A. Ltd et le séquestre des avoirs y étant déposés. Il sera ainsi statué dans cette limite et les argu- ments soulevés dans l'acte de recours seront examinés en rapport avec cette dernière société uniquement.</w:t>
      </w:r>
    </w:p>
    <w:p>
      <w:r>
        <w:t>2. Sur le fond, il est fait grief au MPC d'avoir octroyé l'entraide alors même que la demande des autorités russes n'aurait établi aucun lien de connexité entre les faits sous enquête en Russie et ladite recourante (act. 1, p. 6 ss). La demande d'entraide aurait omis d'indiquer quelles charges pèsent sur elle et quels actes précis lui seraient imputés. Le contenu de la demande serait dès lors insuffisant (act. 13, p. 9 ss) de sorte que celle-ci, assimilable à une fishing expedition, violerait les art. 28 EIMP et 14 CEEJ. Il ne serait au surplus pas admissible que la requête d'entraide ait comme origine des informations parues dans les médias (act. 1, p. 7).</w:t>
      </w:r>
    </w:p>
    <w:p>
      <w:r>
        <w:t>- 9 -</w:t>
      </w:r>
    </w:p>
    <w:p>
      <w:r>
        <w:t>2.1 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L’art. 27 CBl et le droit interne – en l’art. 28 EIMP invoqué par la recourante – posent des exigences équivalentes, que l’OEIMP précise en exigeant l’indication du lieu, de la date et du mode de commission des infractions (art. 10 OEIMP). Selon la jurisprudence, l'on ne saurait exiger de l'Etat re- quérant un exposé complet et exempt de toute lacune, puisque la procédu- re d'entraide a précisément pour but d'apporter aux autorités de l'Etat re- 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 tés manifestes, ces soupçons n'ont pas à être vérifiés dans le cadre de la procédure d'entraide judiciaire (arrêt du Tribunal fédéral 1A.297/2004 du 17 mars 2005, consid. 2.1).</w:t>
      </w:r>
    </w:p>
    <w:p>
      <w:r>
        <w:t>2.2 En l'occurrence, la demande d'entraide et ses compléments répondent aux exigences légales. Dans ces documents, l'autorité requérante expose, avec précision, les tenants et aboutissants de la procédure russe en détaillant quels sont les faits et les personnes, physiques et morales, sous enquête (cf. let. A). L'on y lit notamment que les avoirs résultant du remboursement frauduleux d'impôts auraient été transférés au moyen de dix-mille transac- tions aux comptes appartenant à différentes personnes morales. Les socié- tés participant à ces transferts n'exerceraient pas d'activités économiques et financières et n'auraient pas présenté les documents pouvant justifier les opérations effectuées, contrairement à ce qui est requis par les dispositions légales en la matière. Ces transactions auraient été effectuées en vue de rendre légale la possession, l'utilisation et la gestion de fonds notoirement obtenus de manière criminelle par des tiers (act. 1.7). Or, ces éléments ap- paraissent suffisants, en application des règles exposées supra</w:t>
      </w:r>
    </w:p>
    <w:p>
      <w:r>
        <w:t>- 10 -</w:t>
      </w:r>
    </w:p>
    <w:p>
      <w:r>
        <w:t>(consid. 2.1), pour examiner la réalisation de la condition de la double pu- nissabilité et constater que, transposés en droit suisse, les faits investigués par l'autorité requérante pourraient être constitutifs de blanchiment d'argent (art. 305bis CP). Il sied à cet égard de rappeler que lorsque l’autorité étran- gère mène une enquête pour blanchiment, elle ne doit pas nécessairement apporter la preuve de la commission des actes de blanchiment ou de l’infraction préalable; de simples soupçons concrets sont suffisants sous l’angle de la double punissabilité (arrêts du Tribunal pénal fédéral RR.2011.238 du 29 novembre 2011, consid. 2.1; RR.2008.8 du 23 juillet 2008, consid. 2.2.2 et les références citées; v. ég. ZIMMERMANN, La coopé- ration judiciaire internationale en matière pénale, 3e éd., Berne 2009, n° 601). Au vu des règles régissant la matière, l'autorité requérante n'était ainsi pas tenue d'exposer dans le détail les éléments de preuve qui lui permettent de soupçonner que la recourante soit reliée aux actes de blan- chiment sous enquête. Il sera néanmoins relevé que les mesures entrepri- ses par le MPC ont permis de déterminer que le compte de la recourante aurait reçu des versements en provenance d'autres relations bancaires ayant mis à disposition des fonds considérables pour des investissements immobiliers aux Emirats Arabes Unis au nom de D., de son ex-épouse et de deux autres prévenues (act. 1.1 notamment, p. 5). Or, ces opérations pourraient être constitutives de blanchiment d'argent. Aucune contradiction manifeste n'étant au demeurant présente dans l'état de faits exposé, la mo- tivation de la demande d'entraide ne prête pas flanc à la critique.</w:t>
      </w:r>
    </w:p>
    <w:p>
      <w:r>
        <w:t>Enfin, rien ne s'oppose à ce que la requête d'entraide des autorités étran- gères soit adressée à la Suisse à la suite d'informations parues dans les médias. Les oppositions de la recourante à cet égard ne sont ainsi pas per- tinentes.</w:t>
      </w:r>
    </w:p>
    <w:p>
      <w:r>
        <w:t>2.3 S’agissant de l’argument soulevé par cette dernière selon lequel la procé- dure pénale ouverte en Russie ne serait pas dirigée à son encontre (act. 1, p. 9 s.), c’est le lieu de rappeler que l’octroi de l’entraide n’implique pas que la personne soumise à une mesure de contrainte dans l’Etat requis soit el- le-même accusée dans l’Etat requérant. Il suffit que, dans cet Etat, une procédure pénale soit ouverte à l’encontre d’une personne sur laquelle pè- sent des charges donnant lieu à l’entraide sous l’angle notamment de la double incrimination, et que des investigations en Suisse soient nécessai- res pour les besoins de cette procédure (arrêt du Tribunal pénal fédéral RR.2011.253 du 28 novembre 2011, consid. 4.2 et les références citées). Ces conditions sont réalisées en l’espèce.</w:t>
      </w:r>
    </w:p>
    <w:p>
      <w:r>
        <w:t>- 11 -</w:t>
      </w:r>
    </w:p>
    <w:p>
      <w:r>
        <w:t>2.4 C'est d'ailleurs le lieu de préciser que les allégations de la recourante quant à sa non-implication dans le contexte de faits sous enquête ne sont nulle- ment pertinentes, l'argumentation à décharge n'ayant pas sa place dans le cadre de la procédure d'entraide (ATF 123 II 279 consid. 2b; arrêt du Tri- bunal fédéral 1A.174/2006 du 2 octobre 2006, consid. 4.5; arrêt du Tribunal pénal fédéral RR.2012.27 du 2 mars 2012, consid. 4.3).</w:t>
      </w:r>
    </w:p>
    <w:p>
      <w:r>
        <w:t>3. De l'avis de la recourante, le principe de la proportionnalité aurait été violé (act. 1, p. 11 ss). Le MPC aurait en effet dépassé les limites de la demande d'entraide en ordonnant le séquestre de son compte alors que cette mesu- re n'a pas été requise par les autorités russes. Le MPC estime pour sa part que, à la lecture de la demande d'entraide du 4 août 2011 (act. 1.7), il doit être compris que l'Etat requérant poursuit les auteurs et agit également en vue d'obtenir la réparation du dommage subi ainsi que la confiscation des fonds qui pourraient être identifiés (act. 9, p. 2).</w:t>
      </w:r>
    </w:p>
    <w:p>
      <w:r>
        <w:t>Le Tribunal fédéral a déjà eu l'occasion de préciser que, saisie d'une de- mande d'entraide judiciaire se rapportant à des fonds détournés, l'autorité suisse d'exécution peut en ordonner le blocage, même si la demande initia- le ne le requiert pas expressément, dès lors que l'Etat requérant est sus- ceptible d'en demander la remise conformément à l'art. 74a EIMP (arrêt du Tribunal fédéral 1C_562/2011 du 22 décembre 2011, consid. 1.3). De l'avis de notre Haute Cour, le blocage fait partie des mesures provisoires que l'autorité suisse peut adopter en application de l'art. 18 EIMP. Il appartien- dra tout de même à l'autorité d'exécution d'interpeller les autorités russes afin d'obtenir leurs intentions à l'égard dudit séquestre en leur fixant un dé- lai pour se déterminer. La recourante pourra pour sa part intervenir auprès de l'autorité d'exécution si la mesure devait apparaître disproportionnée. Le grief de celle-ci est dès lors infondé. Au demeurant, l'existence d'un sé- questre prononcé par le MPC dans le cadre de la procédure pénale helvé- tique parallèle, ne modifie en rien ce qui précède.</w:t>
      </w:r>
    </w:p>
    <w:p>
      <w:r>
        <w:t>4. Aucun autre motif justifiant le refus de l'entraide n'apparait en l'espèce don- né de sorte que le recours doit être rejeté dans la mesure de sa recevabili- té.</w:t>
      </w:r>
    </w:p>
    <w:p>
      <w:r>
        <w:t>5. En règle générale, les frais de procédure, comprenant l’émolument d’arrêté, Ies émoluments de chancellerie et les débours, sont mis à la charge de la partie qui succombe (art. 63 al. 1 PA, applicable par renvoi de l’art. 39 al. 2</w:t>
      </w:r>
    </w:p>
    <w:p>
      <w:r>
        <w:t>- 12 -</w:t>
      </w:r>
    </w:p>
    <w:p>
      <w:r>
        <w:t>let. b LOAP). Le montant de l’émolument est calculé en fonction de l’ampleur et de la difficulté de la cause, de la façon de procéder des parties, de leur si- tuation financière et des frais de chancellerie (art. 73 al. 2 LOAP). Les recou- rants qui succombent supporteront ainsi solidairement les frais du présent arrêt, lesquels se limiteront à un émolument fixé à CHF 10'000.-- (art. 73 al. 2 LOAP et art. 8 al. 3 du règlement du Tribunal pénal fédéral sur les frais, émoluments, dépens et indemnités de la procédure pénale fédérale du 31 août 2010 [RFPPF; RS 173.713.162] et art. 63 al. 5 PA), couvert par l'avance de frais déjà versée.</w:t>
      </w:r>
    </w:p>
    <w:p>
      <w:r>
        <w:t>- 13 -</w:t>
      </w:r>
    </w:p>
    <w:p>
      <w:r>
        <w:rPr>
          <w:b/>
        </w:rPr>
        <w:t>E. 3</w:t>
      </w:r>
    </w:p>
    <w:p>
      <w:r>
        <w:t>octobre 2012, consid. 2.7 in fine). S'agissant du caractère abusif de la li- quidation, la jurisprudence retient que tel serait par exemple le cas si elle était intervenue, sans raison économique apparente, dans un délai proche de l'ouverture de l'action pénale dans l'Etat requérant (arrêt du Tribunal fé- déral 1A.10/2000 du 18 mai 2000, consid. 2, in Praxis 2000 no 133 p. 790 ss).</w:t>
      </w:r>
    </w:p>
    <w:p>
      <w:r>
        <w:rPr>
          <w:b/>
        </w:rPr>
        <w:t>E. 8</w:t>
      </w:r>
    </w:p>
    <w:p>
      <w:r>
        <w:t>février 2012. Quand bien même il est envisageable que la radiation soit intervenue après la liquidation de la société, il n'en demeure pas moins que le délai de deux ans entre ces deux étapes apparaît considérable et de na- ture à soulever des interrogations. Les explications du recourant sont ainsi lacunaires à ce sujet. Aucun document concernant la dissolution de cette dernière société n'a au demeurant été produit. Il est ensuite relevé que, en application des règles rappelées supra (consid. 1.3), l'ayant droit écono- mique de la société peut recourir uniquement lorsqu'il démontre qu'il est le bénéficiaire de la liquidation de la société. Même si le Tribunal fédéral a fourni de nouvelles clefs de lecture en relation à la jurisprudence régissant la qualité pour recourir de l'ayant droit économique (notre haute Cour indi- quant dans l'arrêt 1C_370/2012 susmentionné que « […] Die bundesge- rechtliche Rechtsprechung ist in dem Sinne klarzustellen, dass der Beweis des Zuflusses des Liquidationserlöses der aufgelösten Gesellschaft an den wirtschaftliche Berechtigen nicht nur mit der Bescheinigung über die Auflö- sung erbracht werden kann […] »), force est de constater que celui-ci ne peut se limiter à démontrer être le bénéficiaire des fonds présents sur le compte de la société dissoute. Il doit en effet prouver être le destinataire des avoirs résultant de la liquidation de la société. In casu, cette preuve n'a pas été apportée. Il sied premièrement de relever que, d'après les explica- tions des flux financiers fournies par le MPC, le bénéficiaire final des fonds</w:t>
      </w:r>
    </w:p>
    <w:p>
      <w:r>
        <w:t>- 8 -</w:t>
      </w:r>
    </w:p>
    <w:p>
      <w:r>
        <w:t>qui étaient présents sur les comptes clôturés des sociétés dissoutes n'est pas le recourant lui-même mais bien la société A. Ltd, titulaire de la relation bancaire sur laquelle ceux-ci ont été finalement versés. Or, cette société est toujours existante et dispose de la personnalité juridique. La qualité pour recourir en faveur de C. Ltd et B. Inc. reviendrait ainsi, en tout état de cause, à cette dernière. Quoi qu'il en soit, force est de constater que les re- courants n'ont fourni aucune indication quant aux modalités de la liquida- tion des sociétés concernées, en particulier la manière dont les avoirs ont été repartis et le lien qui existerait entre la liquidation et les fonds présents sur les comptes concernés. Rien n'indique ainsi que les valeurs déposées sur les comptes clôturés aient été le résultat de la liquidation. Il est à cet égard relevé que, en ce qui concerne C. Ltd, le compte de cette dernière a été clôturé au plus tôt 6 mois avant la liquidation de la société (celle-ci étant intervenue au cours de l'année 2010, selon les indications du MPC, et le compte ayant été clôturé le 18 juin 2009). Le délai intervenu entre la clôture du compte, voire le transfert des fonds (effectué en faveur du compte de B. Inc. entre le entre 27 avril et le 17 juin 2009), et la liquidation de la société porte ainsi à croire que les avoirs concernés ne sont pas le résultat de cette dernière. De ce fait, la qualité pour recourir en relation avec la transmission de la documentation bancaire de B. Inc. et C. Ltd ne peut être reconnue ni à D. ni à A. Ltd. Ce volet du recours est ainsi irrecevable. Il est partant irre- levant de déterminer si la dissolution desdites sociétés est intervenue de manière abusive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