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RR.2013.68 vom 16. April 2013</w:t>
      </w:r>
    </w:p>
    <w:p>
      <w:r>
        <w:t>Bundesstrafgericht, 2013-04-16, DE</w:t>
      </w:r>
    </w:p>
    <w:p>
      <w:r>
        <w:rPr>
          <w:b/>
        </w:rPr>
        <w:t xml:space="preserve">Quelle: </w:t>
      </w:r>
      <w:r>
        <w:t>https://mcp.opencaselaw.ch/entscheid/bstger_RR.2013.68</w:t>
      </w:r>
    </w:p>
    <w:p>
      <w:r>
        <w:t>FR: TPF RR.2013.68 du 16 avril 2013</w:t>
      </w:r>
    </w:p>
    <w:p>
      <w:r>
        <w:t>IT: TPF RR.2013.68 del 16 aprile 2013</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(ZPII EAUe, SR 0.353.12), welchem beide Staaten bei- getreten sind, sowie der Vertrag vom 13. November 1969 zwischen der Schweizerischen Eidgenossenschaft und der Bundesrepublik Deutschland über die Ergänzung des EAUe und die Erleichterung seiner Anwendung (ZV EAUe, SR 0.353.913.61) massgebend. Ausserdem gelangen die Be- 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 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Dies gilt auch im Verhältnis zum SDÜ (Art. 1 Abs. 1 lit. a IRSG). Das innerstaatliche Recht</w:t>
      </w:r>
    </w:p>
    <w:p>
      <w:r>
        <w:t>gelangt nach dem Günstigkeitsprinzip auch dann zur Anwendung, wenn dieses geringere Anforderungen an die Auslieferung stellt (BGE 137 IV 33 E. 2.2.2 S. 40 f.; 136 IV 82 E. 3.1; 122 II 140 E. 2 S. 142). Vorbehalten bleibt die Wahrung der Menschenrechte (BGE 135 IV 212 E. 2.3; 123 II 595 E. 7c S. 616; TPF 2008 24 E. 1.1 S. 26). Auf Beschwerdeverfahren in in- ternationalen Rechtshilfeangelegenheiten sind darüber hinaus die Bestim- mungen des Bundesgesetzes vom 20. Dezember 1968 über das Verwal- tungsverfahren (Verwaltungsverfahrensgesetz, VwVG; SR 172.021) an- wendbar (Art. 39 Abs. 2 lit. b StBOG).</w:t>
      </w:r>
    </w:p>
    <w:p>
      <w:r>
        <w:rPr>
          <w:b/>
        </w:rPr>
        <w:t>E. 2.1</w:t>
      </w:r>
    </w:p>
    <w:p>
      <w:r>
        <w:t>Gegen Auslieferungsentscheide des BJ kann innerhalb von 30 Tagen nach Eröffnung des Entscheids bei der Beschwerdekammer des Bundesstrafge- richts Beschwerde geführt werden (Art. 55 Abs. 3 i.V.m. Art. 25 Abs. 1 IRSG; Art. 12 Abs. 1 IRSG i.V.m. Art. 50 Abs. 1 VwVG). Die Frist beginnt an dem auf ihre Mitteilung folgenden Tage zu laufen (Art. 20 Abs. 1 VwVG).</w:t>
      </w:r>
    </w:p>
    <w:p>
      <w:r>
        <w:rPr>
          <w:b/>
        </w:rPr>
        <w:t>E. 2.2</w:t>
      </w:r>
    </w:p>
    <w:p>
      <w:r>
        <w:t>Der angefochtene Entscheid wurde dem Vertreter des Beschwerdeführers am 6. Februar 2013 eröffnet (vgl. act. 4.17). Die am 8. März 2013 durch ihn erhobene Beschwerde erweist sich daher als fristgerecht. Die übrigen Ein- tretensvoraussetzungen geben zu keinen Bemerkungen Anlass, weshalb auf die Beschwerde einzutreten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RR.2012.175 vom 7. März 2013, E. 5; RR.2013.4 vom 12. Februar 2013, E. 3).</w:t>
      </w:r>
    </w:p>
    <w:p>
      <w:r>
        <w:rPr>
          <w:b/>
        </w:rPr>
        <w:t>E. 4.1</w:t>
      </w:r>
    </w:p>
    <w:p>
      <w:r>
        <w:t>Der Beschwerdeführer beruft sich zusammenfassend auf Art. 4 IRSG und auf das diesem Artikel zu Grunde liegende Prinzip der Verhältnismässig- keit. Er macht diesbezüglich geltend, beim Grund für den Widerruf der Strafaussetzung zur Bewährung handle es sich nur um einen leichten Ver- stoss gegen die Bewährungsauflagen. Eine Auslieferung nach Deutschland würde sein mittlerweile in der Schweiz neu aufgebautes Leben zerstören (vgl. act. 1, Ziff. II.10 ff., S. 6 ff.).</w:t>
      </w:r>
    </w:p>
    <w:p>
      <w:r>
        <w:rPr>
          <w:b/>
        </w:rPr>
        <w:t>E. 4.2</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Satz 1 EAUe). Ist im Hoheitsge- biet des ersuchenden Staates eine Verurteilung zu einer Strafe erfolgt oder eine sichernde Massnahme angeordnet worden, so muss deren Mass min- destens vier Monate betragen (Art. 2 Ziff. 1 Satz 2 EAUe). Gemäss Art. II ZV EAUe wird eine Auslieferung auch gewährt, wenn das Mass einer noch zu vollstreckenden Strafe oder bei mehreren noch zu vollstreckenden Stra- fen deren Summe mindestens drei Monate beträgt.</w:t>
      </w:r>
    </w:p>
    <w:p>
      <w:r>
        <w:rPr>
          <w:b/>
        </w:rPr>
        <w:t>E. 4.3</w:t>
      </w:r>
    </w:p>
    <w:p>
      <w:r>
        <w:t>Die Rüge des Beschwerdeführers, seine Auslieferung verstosse gegen Art. 4 IRSG, erweist sich offensichtlich als unbegründet, nachdem es die einschlägigen Bestimmungen des Völkerrechts (siehe oben E. 1.1) dem er- suchten Staat nicht erlauben, selbst zu entscheiden, ob es sich um einen Bagatellfall handelt oder nicht (TPF 2011 89 E. 3.1 m.w.H.; siehe zuletzt u. a. auch die Entscheide des Bundesstrafgerichts RR.2012.153 vom</w:t>
      </w:r>
    </w:p>
    <w:p>
      <w:r>
        <w:rPr>
          <w:b/>
        </w:rPr>
        <w:t>E. 4.4</w:t>
      </w:r>
    </w:p>
    <w:p>
      <w:r>
        <w:t>Nach dem Gesagten erweist sich der angefochtene Entscheid als recht- mässig. Sofern die vom Beschwerdeführer gegen seine Auslieferung erho- benen Einreden und Einwendungen überhaupt zu hören sind, erweisen sie sich zum vornherein als unbegründet. Andere Auslieferungshindernisse sind nicht erkennbar. Die Beschwerde ist – ohne Schriftenwechsel (Art. 57 Abs. 1 VwVG e contrario) – abzuweisen.</w:t>
      </w:r>
    </w:p>
    <w:p>
      <w:r>
        <w:t>5.</w:t>
      </w:r>
    </w:p>
    <w:p>
      <w:r>
        <w:t>5.1 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Gemäss der bundesgerichtlichen Rechtspre- chung sind Prozessbegehren als aussichtslos anzusehen, wenn die Ge-</w:t>
      </w:r>
    </w:p>
    <w:p>
      <w:r>
        <w:t>winnaussichten beträchtlich geringer erscheinen als die Verlustgefahren. Dagegen gilt ein Begehren nicht als aussichtslos, wenn sich Gewinnaus- sichten und Verlustgefahren ungefähr die Waage halten oder jene nur we- nig geringer sind als diese (BGE 138 III 217 E. 2.2.4; 134 I 92 E. 3.2.1; 129 I 129 E. 2.3.1).</w:t>
      </w:r>
    </w:p>
    <w:p>
      <w:r>
        <w:t>5.2 Anhand des oben Ausgeführten erweist sich die Beschwerde offensichtlich als aussichtslos im Sinne von Art. 65 Abs. 1 VwVG. Demzufolge ist das Gesuch des Beschwerdeführers um unentgeltliche Rechtspflege und Ver- beiständung abzuweisen.</w:t>
      </w:r>
    </w:p>
    <w:p>
      <w:r>
        <w:t>6. Bei diesem Ausgang des Verfahrens sind die Gerichtskosten dem Be- schwerdeführer aufzuerlegen (Art. 63 Abs. 1 VwVG). Die Gerichtsgebühr ist auf Fr. 3'000.-- festzusetzen (Art. 63 Abs. 5 VwVG i.V.m. Art. 73 StBOG sowie Art. 5 und 8 Abs. 3 lit. a des Reglements des Bundesstrafgerichts vom 31. August 2010 über die Kosten, Gebühren und Entschädigungen in Bundesstrafverfahren [BStKR, SR 173.713.162]).</w:t>
      </w:r>
    </w:p>
    <w:p>
      <w:r>
        <w:rPr>
          <w:b/>
        </w:rPr>
        <w:t>E. 9</w:t>
      </w:r>
    </w:p>
    <w:p>
      <w:r>
        <w:t>Oktober 2012, E. 6; RR.2011.183 vom 26. September 2011, E. 3.3; RR.2011.84 vom 11. Mai 2011, E. 3.1). Vielmehr ergibt sich eine Ausliefe- rungsverpflichtung aus Art. 1 und 2 Ziff. 1 Satz 2 EAUe (vgl. supra E. 4.2). Somit spielt es auch keine Rolle mehr, dass gestützt auf Art. 4 IRSG eine Auslieferung gegebenenfalls zu verweigern wäre, wenn die Bedeutung der Straftat und nicht diejenige eines allfälligen Verstosses gegen Bewäh- rungsauflagen die Durchführung des Verfahrens nicht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