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RR.2013.62 vom 13. August 2013</w:t>
      </w:r>
    </w:p>
    <w:p>
      <w:r>
        <w:t>Bundesstrafgericht, 2013-08-13, DE</w:t>
      </w:r>
    </w:p>
    <w:p>
      <w:r>
        <w:rPr>
          <w:b/>
        </w:rPr>
        <w:t xml:space="preserve">Quelle: </w:t>
      </w:r>
      <w:r>
        <w:t>https://mcp.opencaselaw.ch/entscheid/bstger_RR.2013.62</w:t>
      </w:r>
    </w:p>
    <w:p>
      <w:r>
        <w:t>FR: TPF RR.2013.62 du 13 août 2013</w:t>
      </w:r>
    </w:p>
    <w:p>
      <w:r>
        <w:t>IT: TPF RR.2013.62 del 13 agosto 2013</w:t>
      </w:r>
    </w:p>
    <w:p>
      <w:pPr>
        <w:pStyle w:val="Heading2"/>
      </w:pPr>
      <w:r>
        <w:t>Regeste</w:t>
      </w:r>
    </w:p>
    <w:p>
      <w:r>
        <w:t>Inrernationale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t>Die angefochtene Verfügung bezieht sich auf die Herausgabe von Bankun- terlagen betreffend Konten der Beschwerdeführerin bei der Bank I. (act 1.2). Ihre Beschwerdelegitimation ist daher gegeben.</w:t>
      </w:r>
    </w:p>
    <w:p>
      <w:r>
        <w:rPr>
          <w:b/>
        </w:rPr>
        <w:t>E. 2.2</w:t>
      </w:r>
    </w:p>
    <w:p>
      <w:r>
        <w:t>Beim angefochtenen Entscheid handelt es sich um eine Schlussverfügung der ausführenden Bundesbehörde in internationalen Rechtshilfeangele- genheiten, gegen welche innert 30 Tagen ab der schriftlichen Mitteilung bei</w:t>
      </w:r>
    </w:p>
    <w:p>
      <w:r>
        <w:t>der Beschwerdekammer des Bundesstrafgerichts Beschwerde geführt wer- den kann (Art. 80e Abs. 1 i.V.m. Art. 80k IRSG; Art. 37 Abs. 2 lit. a Ziff. 1 StBOG; Art. 19 Abs. 2 des Organisationsreglements für das Bundesstrafge- richt vom 31. August 2010, SR 173.713.161).</w:t>
      </w:r>
    </w:p>
    <w:p>
      <w:r>
        <w:t>Die Schlussverfügung vom 31. Januar 2013 ist mit Beschwerde vom</w:t>
      </w:r>
    </w:p>
    <w:p>
      <w:r>
        <w:rPr>
          <w:b/>
        </w:rPr>
        <w:t>E. 4</w:t>
      </w:r>
    </w:p>
    <w:p>
      <w:r>
        <w:t>Einleitend ist zu bemerken, dass die Staatsanwaltschaft Frankfurt am Main der Beschwerdegegnerin mit Schreiben vom 15. Mai 2013 mitgeteilt hatte, am Rechtshilfeersuchen in Bezug auf den Beschuldigten D. nicht länger festzuhalten (act. 15.1; vgl. supra lit. H.). Das Rechtshilfeersuchen ist je- doch hinsichtlich der anderen acht beschuldigten Personen nicht zurückge- zogen worden, weshalb diesbezüglich vom Fortbestand des Ersuchens auszugehen ist (vgl. Urteil des Bundesgerichts 1A.218/2003 vom 17. Dezember 2003, E. 3.5; Entscheid des Bundesstrafgerichts RR.2009.200 vom 9. Juli 2009, E. 5.4).</w:t>
      </w:r>
    </w:p>
    <w:p>
      <w:r>
        <w:rPr>
          <w:b/>
        </w:rPr>
        <w:t>E. 5</w:t>
      </w:r>
    </w:p>
    <w:p>
      <w:r>
        <w:t>Im Zusammenhang mit der erhobenen Rüge der Beschwerdeführerin, das Individualschutzprinzip sei verletzt, da das Landgericht die Rechtswidrigkeit der durchgeführten Hausdurchsuchung bei D. in X. festgestellt habe (act. 1 S. 9 ff; act. 13 S. 3), ist sodann vorab Folgendes festzuhalten: Das Indivi- dualschutz- oder Benachteiligungsprinzip besagt, dass die Person durch die Rechtshilfe nach Möglichkeit nicht schlechter gestellt werden soll, als wenn das ausländische Verfahren im ersuchten Staat gegen sie durchge- führt würde (POPP, Grundzüge der internationalen Rechtshilfe in Strafsa-</w:t>
      </w:r>
    </w:p>
    <w:p>
      <w:r>
        <w:t>chen, Basel/Genf/München 2001, N 194). Auf das Individualschutzprinzip berufen kann sich in erster Linie derjenige, gegen den sich das ausländi- sche Verfahren richtet. Unter Umständen kann es auch demjenigen zugute kommen, den eine Rechtshilfemassnahme direkt betrifft (POPP, a.a.O.). Ob vorliegend die Beschwerdeführerin legitimiert ist, sich auf das Individual- schutzprinzip zu berufen, kann offen bleiben, da eine Verletzung desselben ohnehin nicht zu bejahen ist. Das Landgericht hat zwar in seinem Be- schluss vom 15. April 2013 die Rechtswidrigkeit der in der Schweiz durch- geführten Durchsuchung der Wohnung von D. festgestellt. Dies, weil hin- reichende Anhaltspunkte dafür fehlen würden, dass D. Gelder aus der F.-Entführung in Umlauf gebracht habe oder er daran schuldhaft beteiligt gewesen sei (act. 13.1; vgl. supra lit. H.). Wie noch zu zeigen sein wird, er- weist sich jedoch die vorliegende Herausgabe der Bankunterlagen der Be- schwerdeführerin unabhängig vom Bestehen eines Tatverdachts von D. als potentiell erheblich für das deutsche Strafverfahren (vgl. nachfolgend Ziff. 6.4). Inwiefern die Beschwerdeführerin durch die Rechtshilfe schlechter ge- stellt ist, als wenn das Verfahren in der Schweiz durchgeführt würde, ist nicht auszumachen.</w:t>
      </w:r>
    </w:p>
    <w:p>
      <w:r>
        <w:rPr>
          <w:b/>
        </w:rPr>
        <w:t>E. 6.1</w:t>
      </w:r>
    </w:p>
    <w:p>
      <w:r>
        <w:t>Die Beschwerdeführerin moniert sodann, dass die Herausgabe sämtlicher das Konto die Beschwerdeführerin betreffenden Bankunterlagen einer un- zulässigen Beweisausforschung gleichkomme und unverhältnismässig sei. Die Beschwerdeführerin werde im Rechtshilfeersuchen nämlich gar nicht erwähnt. Zudem weise einzig eine Zahlung von EUR 250'000.-- indirekt ei- nen Zusammenhang mit der Firma H. auf. Somit seien höchstens die De- tails dieser Überweisung von EUR 250'000.-- auf das Konto der A. sowie die Kontoeröffnungsunterlagen für die ersuchende Behörde relevant. Aus den übrigen Bankunterlagen sei kein Zusammenhang mit dem im Rechts- hilfeersuchen vorgetragenen Sachverhalt ersichtlich (act. 1 S. 6 f. und</w:t>
      </w:r>
    </w:p>
    <w:p>
      <w:r>
        <w:rPr>
          <w:b/>
        </w:rPr>
        <w:t>E. 6.2</w:t>
      </w:r>
    </w:p>
    <w:p>
      <w:r>
        <w:t>Rechtshilfemassnahmen haben generell dem Prinzip der Verhältnismäs- sigkeit zu genügen (ZIMMERMANN, La coopération judiciare internationale en matière pénale, Bern 2009, S. 669 ff., mit Verweisen auf die Rechtspre- chung; statt vieler: Entscheid des Bundesstrafgerichts RR.2008.271 vom 7. April 2009, E. 3.2). Die internationale Zusammenarbeit kann nur abge- lehnt werden, wenn die verlangten Unterlagen mit der verfolgten Straftat in keinem Zusammenhang stehen und offensichtlich ungeeignet sind, die Un- tersuchung voranzutreiben, so dass das Ersuchen nur als Vorwand für eine unzulässige Beweisausforschung (“fishing expedition“) erscheint. Nicht er- forderlich ist, dass dem von der Rechtshilfemassnahme Betroffenen im</w:t>
      </w:r>
    </w:p>
    <w:p>
      <w:r>
        <w:t>ausländischen Strafverfahren selbst ein strafbares Verhalten zur Last ge- legt wird (Urteil des Bundesgerichts 1A.245/2006 vom 26. Januar 2007, E. 3; Entscheid des Bundesstrafgerichts RR.2007.29 vom 30. Mai 2007, E. 3). Ob die verlangten Auskünfte für das Strafverfahren im ersuchenden Staat nötig oder nützlich sind, ist eine Frage, deren Beantwortung grund- sätzlich dem Ermessen der Behörden dieses Staates anheim 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Dabei darf die ersuchte Rechtshilfebe- hörde über ein im Rechtshilfeersuchen gestelltes Begehren nicht hinaus- gehen (Übermassverbot; BGE 115 Ib 186 E. 4 S. 192). Die Rechtspre- 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(Urteil des Bundesgerichts 1A.209/2005 vom 29. Januar 2007, E. 3.2, m.w.H.). Zielt das Rechtshilfeersuchen auf die Ermittlung ab, auf welchem Weg Geldmit- tel möglicherweise strafbarer Herkunft verschoben wurden, so sind die Be- hörden des ersuchenden Staates grundsätzlich über alle Transaktionen zu informieren, die von Gesellschaften und über Konten getätigt wurden, wel- che in die Angelegenheit verwickelt sind (BGE 121 II 241 E. 3c S. 244; Urteile des Bundesgerichts 1A.7/2007 vom 3. Juli 2007, E. 7.2; 1A.79/2005 vom 27. April 2005, E. 4.1).</w:t>
      </w:r>
    </w:p>
    <w:p>
      <w:r>
        <w:rPr>
          <w:b/>
        </w:rPr>
        <w:t>E. 6.3</w:t>
      </w:r>
    </w:p>
    <w:p>
      <w:r>
        <w:t>Im Rechtshilfeersuchen vom 17. Juni 2011 wird zusammengefasst darge- legt, dass die Beschuldigten seit dem Jahre 2008 Gelder in die Finanzie- rung des Bauvorhabens J. in W. einbringen würden bzw. eingebracht hät- ten, in der Absicht, die Herkunft der Gelder zu verschleiern und sich durch den Betrieb des Clubs und die ihnen dadurch zustehenden Gewinnanteile eine nicht nur vorübergehende Einnahmequelle zu sichern. Die Geldeinla- gen seien bei einer Schweizer Strohgesellschaft Firma H. zusammenge- flossen, für die sich der in Y. wohnhafte E. als Treuhänder verantwortlich gezeigt habe. Von dort aus seien die Gelder auf das Konto der K. AG trans- feriert und für den Bau des Clubs J. verwendet worden. So seien auf Ver- anlassung von C. im Zeitraum von Mai 2008 bis September 2010 rund 2,2 Millionen Euro von der Firma H. auf das Konto der K. AG beziehungsweise</w:t>
      </w:r>
    </w:p>
    <w:p>
      <w:r>
        <w:t>ein später eingerichtetes Treuhandkonto weitertransferiert worden. C. und B. hätten jeweils im Auftrag von Investoren gehandelt, die nicht hätten ge- nannt werden sollen. Aufgrund der bisherigen Erhebungen bestehe der Verdacht, dass Teile dieser Geldbeträge aus der im Jahre 1996 in Z. erfolg- ten Entführung des dort lebenden Multimillionärs F., bei der 30 Millionen Deutsche Mark Lösegeld bezahlt worden seien, herrühren würden (act. 1.2).</w:t>
      </w:r>
    </w:p>
    <w:p>
      <w:r>
        <w:rPr>
          <w:b/>
        </w:rPr>
        <w:t>E. 6.4</w:t>
      </w:r>
    </w:p>
    <w:p>
      <w:r>
        <w:t>Die Beschwerdegegnerin führte in der Schlussverfügung aus, dass anläss- lich der Auswertung der Bankunterlagen des auf die Firma H. lautenden Kontos Nr. 1 bei der Bank G. eine Gutschrift von EUR 250'000.-- mit Valuta vom 8. Juli 2009 vom Konto der A. bei der Bank I. habe eruiert werden können. Eine Sichtung der Bankunterlagen der A. soll ergeben haben, dass dieses Geld gleichtentags von der Beschwerdeführerin gutgeschrieben worden sei. Vom Konto der Firma H. sei das Geld noch am 8. Juli 2009 auf eine Bankverbindung in Deutschland, lautend auf die L. GmbH geflossen, wo es schliesslich für die Finanzierung des Bordellbetriebes Club J. ver- wendet worden sei (act. 1.2). Das Konto der Beschwerdeführerin ist ge- mäss Kontoeröffnungsunterlagen am 29. September 2006 von E. in seiner Eigenschaft als "Director" der Beschwerdeführerin eröffnet worden (Verfah- rensakten pag. 00518 und 00522). E. soll gemäss Ausführungen der Staatsanwaltschaft Frankfurt am Main ein enges Verhältnis zu den Be- schuldigten B. und C. gehabt haben und für den Transfer der Gelder auf das Konto der Firma H. verantwortlich gewesen sein (act. 1.8 S. 2). Unter diesen Umständen ist die potentielle Erheblichkeit der herauszugebenden Bankunterlagen ohne Weiteres zu bejahen. Von einer unzulässigen Be- weisausforschung kann keine Rede sein. Auch der geltend gemachte Um- stand, wonach die Beschwerdeführerin im Rechtshilfeersuchen nicht er- wähnt werde, steht der Leistung der Rechtshilfe nicht per se entgegen (Entscheide des Bundesstrafgerichts RR.2011.56 vom 2. Dezember 2011, E. 6.3, RR.2010.244 vom 14. September 2011, E. 4.3 und RR.2010.268- 270 vom 21. Juni 2011, E. 8.3). Soweit die Beschwerdeführerin geltend macht, lediglich die Details der Überweisung von EUR 250'000.-- auf das Konto der A. sowie die Kontoeröffnungsunterlagen seien für die ersuchen- de Behörde relevant, verkennt sie, dass es nicht zulässig ist, den ausländi- schen Behörden nur diejenigen Unterlagen zu überlassen, die den im Rechtshilfeersuchen festgestellten Sachverhalt mit Sicherheit beweisen. Nach der Rechtsprechung sind die Behörden des ersuchenden Staates grundsätzlich über alle Transaktionen zu informieren, die von Gesellschaf- ten und über Konten getätigt worden sind, welche in die Angelegenheit verwickelt sind, wenn das Rechtshilfeersuchen wie vorliegend auf die Er- mittlung abzielt, auf welchem Weg Geldmittel mutmasslich strafbarer Her- kunft verschoben wurden.</w:t>
      </w:r>
    </w:p>
    <w:p>
      <w:r>
        <w:t>Die Herausgabe der vorerwähnten Unterlagen an die ersuchende Behörde entspricht nicht zuletzt auch dem Geist des GwUe, welches die Vertrags- parteien zur grösstmöglichen Unterstützung bei der Ermittlung von Tat- werkzeugen, Erträgen und anderen Vermögenswerten, die der Einziehung unterliegen, verpflichtet (Art. 8 GwUe) und diesen diesbezüglich sogar die unaufgeforderte Übermittlung von Informationen erlaubt (Art. 10 GwUe). Zudem vermeidet diese Vorgehensweise auch ein allfälliges Nachtragser- suchen (BGE 121 II 241 E. 3a S. 243; Urteile des Bundesgerichts 1A.227/2006 vom 22. Februar 2007, E. 2.5; 1A.303/2004 vom 29. März 2005, E. 4.2; Entscheid des Bundesstrafgerichts RR.2007.89 vom 20. Au- gust 2007, E. 4.1 m.w.H.).</w:t>
      </w:r>
    </w:p>
    <w:p>
      <w:r>
        <w:t>7. Weitere Rechtshilfehindernisse werden nicht geltend gemacht und sind da- her auch nicht weiter zu prüfen. Zusammenfassend erweist sich die Be- schwerde unbegründet und ist daher vollumfänglich abzuweisen.</w:t>
      </w:r>
    </w:p>
    <w:p>
      <w:r>
        <w:t>8.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4'000.-- festzusetzen und der Beschwerdeführerin aufzuerlegen, unter Anrechnung des geleisteten Kostenvorschusses in gleicher Höhe.</w:t>
      </w:r>
    </w:p>
    <w:p>
      <w:r>
        <w:rPr>
          <w:b/>
        </w:rPr>
        <w:t>E. 10</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