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RR.2013.58 vom 28. Juni 2013</w:t>
      </w:r>
    </w:p>
    <w:p>
      <w:r>
        <w:t>Bundesstrafgericht, 2013-06-28, IT</w:t>
      </w:r>
    </w:p>
    <w:p>
      <w:r>
        <w:rPr>
          <w:b/>
        </w:rPr>
        <w:t xml:space="preserve">Quelle: </w:t>
      </w:r>
      <w:r>
        <w:t>https://mcp.opencaselaw.ch/entscheid/bstger_RR.2013.58</w:t>
      </w:r>
    </w:p>
    <w:p>
      <w:r>
        <w:t>FR: TPF RR.2013.58 du 28 juin 2013</w:t>
      </w:r>
    </w:p>
    <w:p>
      <w:r>
        <w:t>IT: TPF RR.2013.58 del 28 giugno 2013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 e sequestro di conti bancari (art. 33a AOIMP): diritto di essere sentito.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Visto l'esito della procedura, non si riscuote tassa di giustizia (art. 63 cpv. 2 PA richiamato l'art. 39 cpv. 2 lett. b LOAP). La cassa del Tribunale penale federale restituirà alle ricorrenti l'anticipo delle spese già pervenuto pari a fr. 9'000.--.</w:t>
      </w:r>
    </w:p>
    <w:p>
      <w:r>
        <w:rPr>
          <w:b/>
        </w:rPr>
        <w:t>E. 4.2</w:t>
      </w:r>
    </w:p>
    <w:p>
      <w:r>
        <w:t>Giusta l'art. 64 cpv. 1 PA, richiamato l'art. 39 cpv. 2 lett. b LOAP, l'autorità di ricorso, se ammette il ricorso in tutto o in parte, può, d'ufficio o a domanda, assegnare al ricorrente una indennità per le spese indispensabili e relativamente elevate che ha sopportato (ripetibili). Nei procedimenti davanti al Tribunale penale federale le ripetibili consistono nelle spese di patrocinio (art. 11 cpv. 1 RSPPF applicabile in virtù del rinvio di cui all’art. 10 RSPPF). L'onorario è fissato secondo il tempo, comprovato e necessario, impiegato dall'avvocato per la causa e necessario alla difesa della parte rappresentata. L'indennità oraria ammonta almeno a 200 e al massimo a 300 franchi (art. 12 cpv. 1 RSPPF). Davanti alla Corte dei reclami penali, se l'avvocato non presenta alcuna nota delle spese al più tardi al momento dell'inoltro dell’unica o ultima memoria, il giudice fissa l'onorario secondo libero apprezzamento (art. 12 cpv. 2 RSPPF). Nel caso concreto si giustifica di fissare in favore delle ricorrenti un'indennità di fr. 3'000.-- (IVA compresa), la quale è messa a carico del MP-TI in quanto autorità inferiore giusta l'art. 64 cpv. 2 PA.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