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RR.2013.55 vom 9. Juli 2013</w:t>
      </w:r>
    </w:p>
    <w:p>
      <w:r>
        <w:t>Bundesstrafgericht, 2013-07-09, DE</w:t>
      </w:r>
    </w:p>
    <w:p>
      <w:r>
        <w:rPr>
          <w:b/>
        </w:rPr>
        <w:t xml:space="preserve">Quelle: </w:t>
      </w:r>
      <w:r>
        <w:t>https://mcp.opencaselaw.ch/entscheid/bstger_RR.2013.55</w:t>
      </w:r>
    </w:p>
    <w:p>
      <w:r>
        <w:t>FR: TPF RR.2013.55 du 9 juillet 2013</w:t>
      </w:r>
    </w:p>
    <w:p>
      <w:r>
        <w:t>IT: TPF RR.2013.55 del 9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w:t>
      </w:r>
    </w:p>
    <w:p>
      <w:r>
        <w:t>- 4 -</w:t>
      </w:r>
    </w:p>
    <w:p>
      <w:r>
        <w:t>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w:t>
      </w:r>
    </w:p>
    <w:p>
      <w:r>
        <w:t>- 5 -</w:t>
      </w:r>
    </w:p>
    <w:p>
      <w:r>
        <w:t>von der Beschwerdegegnerin am 25. Januar 2013 dem Vertreter der Be- schwerdeführerin zur Kenntnis gebracht (vgl. Aktenstücke Nr. 17/14, 17/15 und 17/16), nachdem sich dieser ihr gegenüber am 23. Januar 2013 durch Vorlage einer entsprechenden Vollmacht legitimiert hatte (vgl. Aktenstücke Nr. 17/13 und 17/14). Die Beschwerdefrist wurde vorliegend somit mit Kenntnisnahme der Schlussverfügung durch die Beschwerdeführerin am 25. Januar 2013 ausgelöst. Ihre am 25. Februar 2013 erhobene Beschwer- de erweist sich als fristgerecht. Die Beschwerdeführerin ist von der Erhe- bung von Informationen hinsichtlich des auf sie lautenden Kontos im Sinne des Art. 80h lit. b IRSG persönlich und direkt betroffen (Art. 9a lit. a IRSV). Auf die im Übrigen formgerecht eingereichte Beschwerde ist einzutreten.</w:t>
      </w:r>
    </w:p>
    <w:p>
      <w:r>
        <w:rPr>
          <w:b/>
        </w:rPr>
        <w:t>E. 3.1</w:t>
      </w:r>
    </w:p>
    <w:p>
      <w:r>
        <w:t>Die Beschwerdeführerin macht geltend, die Schilderung des Sachverhalts im Rechtshilfeersuchen sei lückenhaft, unpräzise und widersprüchlich. Das Ersuchen erfülle daher nicht die gesetzlichen Voraussetzungen zur Gewäh- rung von Rechtshilfe (act. 1, Ziff. II.18 ff.). Das finnische Rechtshilfeersu- chen sei aber auch schon mangels der Voraussetzung der doppelten Straf- barkeit abzuweisen (act. 1, Ziff. II.27 ff.).</w:t>
      </w:r>
    </w:p>
    <w:p>
      <w:r>
        <w:rPr>
          <w:b/>
        </w:rPr>
        <w:t>E. 3.2.1</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w:t>
      </w:r>
    </w:p>
    <w:p>
      <w:r>
        <w:t>- 6 -</w:t>
      </w:r>
    </w:p>
    <w:p>
      <w:r>
        <w:t>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rPr>
          <w:b/>
        </w:rPr>
        <w:t>E. 3.2.2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3.3</w:t>
      </w:r>
    </w:p>
    <w:p>
      <w:r>
        <w:t>Der Darstellung des Sachverhalts des vorliegenden Rechtshilfeersuchens zufolge arbeitete der Beschuldigte B. ab dem Jahr 1989 und mit Ausnahme der Jahre 2003/2004 für die finnische Gesellschaft F. Ltd. Die F. Ltd. han- delt mit Schnittholz bzw. verkauft solches ins Ausland. Seit Februar 2005</w:t>
      </w:r>
    </w:p>
    <w:p>
      <w:r>
        <w:t>- 7 -</w:t>
      </w:r>
    </w:p>
    <w:p>
      <w:r>
        <w:t>sei B. der für den russischen Markt verantwortliche Verkaufsmanager der F. Ltd. gewesen. Im Rahmen dieser Tätigkeit habe B. die finanziellen und juristischen Angelegenheiten der F. Ltd. selbstständig erledigt. Parallel zu seiner Tätigkeit als Arbeitnehmer der F. Ltd. sei er gleichzeitig Alleineigen- tümer und Aufsichtsratsvorsitzender der Gesellschaft G. Ltd. gewesen. Am 13. November 2009 habe die F. Ltd. das Arbeitsverhältnis zwischen B. und ihr mit sofortiger Wirkung aufgekündigt und gegen B. in der Folge eine Strafanzeige eingereicht.</w:t>
      </w:r>
    </w:p>
    <w:p>
      <w:r>
        <w:t>Gemäss Strafanzeige habe die im Eigentum von B. stehende G. Ltd. rege Geschäftstätigkeit mit Unternehmen entwickelt, welche ihrerseits auch der F. Ltd. Dienstleistungen anbieten würden. So habe die G. Ltd. in den Jah- ren 2005 bis 2008 beispielsweise einen Umsatz in der Höhe von EUR 1'944'800.-- erzielt, dies obwohl sie keine Mitarbeiter gehabt habe. B. habe diesbezüglich angegeben, er habe diesen Gesellschaften keine mit dem Handel von Schnittholz zusammenhängenden Dienstleistungen ange- boten und die G. Ltd. übe keine sog. operative Geschäftstätigkeit aus. Eine Auswertung der Buchhaltung der G. Ltd. habe ergeben, dass diese im Zeit- raum vom 1. Januar 2000 bis 31. Dezember 2009 von den Gesellschaften H. Ltd., I. Ltd. und J. Zahlungen in der Höhe von insgesamt EUR 3'610'261.33 erhalten habe. Was den jeweiligen Zeitpunkt bzw. Be- trag der Zahlungen betreffe, so seien diese nicht mit den in der Buchhal- tung der G. Ltd. vorhandenen Rechnungen kongruent. Zudem bestehe der Verdacht, dass der Inhalt der Rechnungen gefälscht worden sei, um den wahren Hintergrund der Geldzahlungen zu verschleiern. Die G. Ltd. habe diesen Gesellschaften gegenüber keine Dienstleistungen erbracht. Die bri- tische Gesellschaft H. Ltd. beispielsweise sei für die F.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F. Ltd. verkauften Schnittholzes zu berücksichtigen. Ferner seien auf dem Konto der G. Ltd. beträchtliche Zah- lungen anderer Gesellschaften eingegangen.</w:t>
      </w:r>
    </w:p>
    <w:p>
      <w:r>
        <w:t>Gegen B. bestehe der Verdacht, er habe in den Jahren 2008 bis 2009 als zuständiger Verkaufsmanager die F. Ltd. dazu gebracht, der Gesellschaft K. Inc. in Russland für bei lokalen Sägewerken gekauftes Schnittholz über- setzte Preise zu bezahlen. So habe die K. Inc. der F. Ltd. im Jahr 2008 ca. EUR 650'000.-- und im Jahr 2009 ca. EUR 4'450'000.-- für Schnittholz in Rechnung gestellt. Die diesbezüglichen Zahlungen seien auf ein Schweizer Bankkonto der K. Inc. geflossen, von welchem in der Folge Gelder auf das finnische Konto der G. Ltd. weiterverschoben worden seien. Weiter seien</w:t>
      </w:r>
    </w:p>
    <w:p>
      <w:r>
        <w:t>- 8 -</w:t>
      </w:r>
    </w:p>
    <w:p>
      <w:r>
        <w:t>von der F. Ltd. im Jahr 2009 EUR 1'840'000.-- für Speditionsdienstleistun- gen an die L. Ltd. auf deren Schweizer Bankkonto bezahlt worden, obwohl diese Zahlungen nicht den Vertragsbedingungen entsprochen hätten. Auch von diesem Konto seien in der Folge EUR 500'000.-- auf ein Konto der G. Ltd. und von dort auf ein auf D. lautendes Konto in Russland weiterver- schoben worden.</w:t>
      </w:r>
    </w:p>
    <w:p>
      <w:r>
        <w:t>B. sei für die Geschäftstätigkeit der F. Ltd. in Russland selbstständig ver- antwortlich gewesen, habe die aus der entsprechenden Tätigkeit hervorge- henden Rechnungen an die F. Ltd. akzeptiert und hierbei das auf seiner verantwortungsvollen Position beruhende Vertrauen seiner Arbeitgeberin missbraucht. Durch seine Vorgehensweise habe er einerseits der F. Ltd. wirtschaftlichen Schaden zugefügt und auf der anderen Seite sich bzw. der in seinem Eigentum stehenden Gesellschaft G. Ltd. rechtswidrige Vermö- gensvorteile in erheblichem Umfang verschafft.</w:t>
      </w:r>
    </w:p>
    <w:p>
      <w:r>
        <w:rPr>
          <w:b/>
        </w:rPr>
        <w:t>E. 3.4</w:t>
      </w:r>
    </w:p>
    <w:p>
      <w:r>
        <w:t>Im Rahmen ihrer Kritik an der Darstellung des Sachverhalts im Rechtshilfe- ersuchen bemängelt die Beschwerdeführerin, es bleibe unklar, was die er- suchende Behörde meine, wenn sie schreibe, B. habe "die finanziellen und juristischen Angelegenheiten der F. Ltd. selbstständig" erledigt (act. 1, Ziff. II.18 f.). Auch wenn die Rolle des Beschuldigten im Ersuchen juristisch nicht genauer (wie beispielsweise als Organ) qualifiziert wird, so ergeben sich dennoch genügend Hinweise auf die weitreichenden Kompetenzen des Beschuldigten B. als Arbeitnehmer der F. Ltd. So habe er eben im Rahmen seiner Tätigkeit als Verkaufsmanager die finanziellen und juristi- schen Angelegenheiten der F. Ltd. selbstständig erledigt (Aktenstück Nr. 2, S. 2), sei hinsichtlich der Tätigkeiten in Russland selbstständig verantwort- lich dafür gewesen, die Zusammenarbeit zwischen der F.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t>- 9 -</w:t>
      </w:r>
    </w:p>
    <w:p>
      <w:r>
        <w:rPr>
          <w:b/>
        </w:rPr>
        <w:t>E. 3.5.1</w:t>
      </w:r>
    </w:p>
    <w:p>
      <w:r>
        <w:t>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II.27 ff.). Mit Blick auf den Tatbestand der ungetreuen Geschäftsbesorgung und auf den im Rechtshilfeersuchen erwähnten Vorwurf, wonach B. Bestechungsgelder angenommen habe, bringt die Beschwerdeführerin vor, es fehle diesbezüglich am erforderlichen Vermögensschaden auf Seiten der F. Ltd. (act. 1, Ziff. II.37 ff.). Zudem sei B. innerhalb der F. Ltd. keine leitende Funktion zugekommen, weshalb er schon gar nicht als Täter in Frage kommen könne (u. a. act. 1, Ziff. II.37).</w:t>
      </w:r>
    </w:p>
    <w:p>
      <w:r>
        <w:rPr>
          <w:b/>
        </w:rPr>
        <w:t>E. 3.5.2</w:t>
      </w:r>
    </w:p>
    <w:p>
      <w:r>
        <w:t>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F. Ltd. (siehe E. 3.4) lassen ohne weiteres erkennen, dass er die Geschäftstätigkeit für seine Arbeitgeberin in Russland selbstständig und</w:t>
      </w:r>
    </w:p>
    <w:p>
      <w:r>
        <w:t>- 10 -</w:t>
      </w:r>
    </w:p>
    <w:p>
      <w:r>
        <w:t>mit weitreichenden Befugnissen ausübte. Da ist es aufgrund der angeführ- ten Praxis auch nicht nötig, dass B. als Organ der F.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F. Ltd. mit der K. Inc. abge- schlossen haben soll und beispielsweise dazu führten, dass die F. Ltd. für Schnittholz übersetzte Preise bezahlt haben soll, wobei Teile des Kaufprei- ses dann wieder an die im Eigentum von B. stehende G. Ltd. geflossen sein sollen, sind nach schweizerischem Recht ohne weiteres als ungetreue Geschäftsbesorgung zu qualifizieren. Dass es diesbezüglich an einem der 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rPr>
          <w:b/>
        </w:rPr>
        <w:t>E. 3.6</w:t>
      </w:r>
    </w:p>
    <w:p>
      <w:r>
        <w:t>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II.21 ff.).</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w:t>
      </w:r>
    </w:p>
    <w:p>
      <w:r>
        <w:t>- 11 -</w:t>
      </w:r>
    </w:p>
    <w:p>
      <w:r>
        <w:t>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vorab mit einer eigenen Darstellung des Sachverhalts betreffend den Hintergrund gewisser Zahlungen an die G. Ltd. bzw. betreffend den Umfang der Befugnisse von B. (act. 1, Ziff. II.10 ff.). Mit den entsprechenden Vorbringen ist sie im vorliegenden Verfahren nicht zu hören (siehe E. 3.2.1).</w:t>
      </w:r>
    </w:p>
    <w:p>
      <w:r>
        <w:t>- 12 -</w:t>
      </w:r>
    </w:p>
    <w:p>
      <w:r>
        <w:t>Der sachliche Zusammenhang zwischen dem Gegenstand des Strafverfah- rens und den vorliegend in Frage stehenden Bankunterlagen ergibt sich primär aus der Tatsache, dass D., die ebenfalls beschuldigte Lebenspart- nerin des Hauptverdächtigten B., bezüglich der Vermögenswerte der Be- schwerdeführerin als einzige wirtschaftlich Berechtigte figurierte (Dok. Nr. 25 058). Anlässlich der Kontoeröffnung erschien sie zudem als eine der beiden bezüglich des Kontos einzelzeichnungsberechtigten Per- sonen (Dok. Nr. 25 054). Die Bankunterlagen selbst zeigen auf, dass auf dem Konto der Beschwerdeführerin eine Reihe von namhaften Zahlungen der M. S.A. und der N. Ltd. gutgeschrieben wurden (Dok. Nr. 28 005 ff.). Hinsichtlich der Vermögenswerte der M. S.A. erschien ebenfalls D. – erst zusammen mit B., später allein – als wirtschaftlich Berechtigte (Aktenstück Nr. 14, S. 8). Die N. Ltd. ihrerseits wird im Rechtshilfeersuchen explizit als eine der Gesellschaften erwähnt, welche der dem Beschuldigten B. zuzu- rechnenden G. Ltd. namhafte Zahlungen geleistet habe (Aktenstück Nr. 2, S. 3). Es trifft zwar zu, dass die vorliegend in Frage stehende Kontoverbin- dung erst im Dezember 2009 und damit kurze Zeit nach der Entlassung von B. durch die F. Ltd. eröffnet worden ist (vgl. die Kontoeröffnungsunter- lagen, Dok. Nr. 25 001 ff.). Nach dem Gesagten kann aber nicht ausge- schlossen werden, dass Teile der der F. Ltd. angeblich widerrechtlich ent- zogenen Gelder in der Folge auch über das Konto der Beschwerdeführerin verschoben worden sind. Das Rechtshilfeersuchen zielt mitunter auch dar- auf ab zu ermitteln, auf welchen Wegen die mittels strafbarer Handlungen erlangten Gelder verschoben worden sind. Daher sind der ersuchenden Behörde zwecks vollständiger Rekonstruktion der Geldflüsse sowie für das Verständnis des Ablaufs der mutmasslichen Tathandlungen im vorliegen- den Fall alle Bankunterlagen zu den betroffenen Konten zu übermitteln (vgl. oben stehende E. 4.2 in fine). Die erhobenen Unterlagen erweisen sich sowohl in sachlicher als auch in zeitlicher Hinsicht für die in Finnland geführten Ermittlungen als potentiell erheblich und deren Herausgabe an die ersuchende Behörde ist mit dem Grundsatz der Verhältnismässigkeit vereinbar. Die Beschwerde ist auch in diesem Punkt unbegründet.</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t>- 13 -</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