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RR.2013.46 vom 7. Juni 2013</w:t>
      </w:r>
    </w:p>
    <w:p>
      <w:r>
        <w:t>Bundesstrafgericht, 2013-06-07, IT</w:t>
      </w:r>
    </w:p>
    <w:p>
      <w:r>
        <w:rPr>
          <w:b/>
        </w:rPr>
        <w:t xml:space="preserve">Quelle: </w:t>
      </w:r>
      <w:r>
        <w:t>https://mcp.opencaselaw.ch/entscheid/bstger_RR.2013.46</w:t>
      </w:r>
    </w:p>
    <w:p>
      <w:r>
        <w:t>FR: TPF RR.2013.46 du 7 juin 2013</w:t>
      </w:r>
    </w:p>
    <w:p>
      <w:r>
        <w:t>IT: TPF RR.2013.46 del 7 giugno 2013</w:t>
      </w:r>
    </w:p>
    <w:p>
      <w:pPr>
        <w:pStyle w:val="Heading2"/>
      </w:pPr>
      <w:r>
        <w:t>Regeste</w:t>
      </w:r>
    </w:p>
    <w:p>
      <w:r>
        <w:t>Assistenza giudiziaria internazionale in materia penale all'Italia. Consegna di mezzi di prova (art. 74 AIMP): doppia punibilità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Concludendo, nessuna delle infrazioni ritenute dal MPC a sostegno della decisione di chiusura del 17 gennaio 2013 appare realizzata in diritto svizzero, né altre sono ravvisabili. Pertanto, il principio della doppia punibilità giusta l'art. 5 n. 1 lett. a CEAG, l'art. X n. 1 Accordo italo-svizzero e l'art. 64 cpv. 1 AIMP non è stato correttamente applicato, ciò che comporta l'annullamento della decisione impugnata.</w:t>
      </w:r>
    </w:p>
    <w:p>
      <w:r>
        <w:rPr>
          <w:b/>
        </w:rPr>
        <w:t>E. 4</w:t>
      </w:r>
    </w:p>
    <w:p>
      <w:r>
        <w:t>Alla luce di tutto quanto precede il gravame dei ricorrenti deve essere accolto, senza che sia necessario chinarsi sulle ulteriori censure sollevate nel ricorso.</w:t>
      </w:r>
    </w:p>
    <w:p>
      <w:r>
        <w:rPr>
          <w:b/>
        </w:rPr>
        <w:t>E. 5.1</w:t>
      </w:r>
    </w:p>
    <w:p>
      <w:r>
        <w:t>Visto l'esito della procedura, non si riscuote tassa di giustizia (art. 63 cpv. 2 PA richiamato l'art. 39 cpv. 2 lett. b LOAP). La cassa del Tribunale penale federale restituirà ai ricorrenti l'anticipo delle spese già pervenuto pari a fr. 6'000.--.</w:t>
      </w:r>
    </w:p>
    <w:p>
      <w:r>
        <w:rPr>
          <w:b/>
        </w:rPr>
        <w:t>E. 5.2</w:t>
      </w:r>
    </w:p>
    <w:p>
      <w:r>
        <w:t>Giusta l'art. 64 cpv. 1 PA, richiamato l'art. 39 cpv. 2 lett. b LOAP, l'autorità di ricorso, se ammette il ricorso in tutto o in parte, può, d'ufficio o a domanda, assegnare al ricorrente una indennità per le spese indispensabili e relativamente elevate che ha sopportato (ripetibili). Nei procedimenti davanti al Tribunale penale federale le ripetibili consistono nelle spese di patrocinio (art. 11 cpv. 1 RSPPF applicabile in virtù del rinvio di cui all’art. 10 RSPPF). L'onorario è fissato secondo il tempo, comprovato e necessario, impiegato dall'avvocato per la causa e necessario alla difesa della parte rappresentata. L'indennità oraria ammonta almeno a 200 e al massimo a 300 franchi (art. 12 cpv. 1 RSPPF). Davanti alla Corte dei reclami penali, se l'avvocato non presenta alcuna nota delle spese al più tardi al momento dell'inoltro dell’unica o ultima memoria, il giudice fissa l'onorario secondo libero apprezzamento (art. 12 cpv. 2 RSPPF). Nel caso concreto, considerata la complessità della fattispecie, si giustifica di fissare in favore dei ricorrenti un'indennità di fr. 2'500.-- (IVA compresa), la quale è messa a carico del MPC in quanto autorità inferiore giusta l'art. 64 cpv. 2 PA.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