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RR.2013.374 vom 17. Februar 2014</w:t>
      </w:r>
    </w:p>
    <w:p>
      <w:r>
        <w:t>Bundesstrafgericht, 2014-02-17, FR</w:t>
      </w:r>
    </w:p>
    <w:p>
      <w:r>
        <w:rPr>
          <w:b/>
        </w:rPr>
        <w:t xml:space="preserve">Quelle: </w:t>
      </w:r>
      <w:r>
        <w:t>https://mcp.opencaselaw.ch/entscheid/bstger_RR.2013.374</w:t>
      </w:r>
    </w:p>
    <w:p>
      <w:r>
        <w:t>FR: TPF RR.2013.374 du 17 février 2014</w:t>
      </w:r>
    </w:p>
    <w:p>
      <w:r>
        <w:t>IT: TPF RR.2013.374 del 17 febbraio 2014</w:t>
      </w:r>
    </w:p>
    <w:p>
      <w:pPr>
        <w:pStyle w:val="Heading2"/>
      </w:pPr>
      <w:r>
        <w:t>Regeste</w:t>
      </w:r>
    </w:p>
    <w:p>
      <w:r>
        <w:t>Extradition à la Fédération de Russie. Décision d'extradition (art. 55 EIMP).</w:t>
      </w:r>
    </w:p>
    <w:p>
      <w:pPr>
        <w:pStyle w:val="Heading2"/>
      </w:pPr>
      <w:r>
        <w:t>Erwägungen</w:t>
      </w:r>
    </w:p>
    <w:p>
      <w:r>
        <w:rPr>
          <w:b/>
        </w:rPr>
        <w:t>E. 1.1</w:t>
      </w:r>
    </w:p>
    <w:p>
      <w:r>
        <w:t>Les procédures d'extradition entre la Suisse et la Fédération de Russie sont prioritairement régies par la Convention européenne d’extradition du 13 décembre 1957 (CEExtr; RS 0.353.1), entrée en vigueur pour la Suisse le 20 mars 1967 et pour la Russie le 9 mars 2000, et par les deux protocoles additionnels à la CEExtr (RS 0.353.11 et RS 0.353.12), entrés en vigueur pour la Suisse le 9 juin 1985 et pour la Russie le 9 mars 2000.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w:t>
      </w:r>
    </w:p>
    <w:p>
      <w:r>
        <w:t>- 5 -</w:t>
      </w:r>
    </w:p>
    <w:p>
      <w:r>
        <w:rPr>
          <w:b/>
        </w:rPr>
        <w:t>E. 1.3</w:t>
      </w:r>
    </w:p>
    <w:p>
      <w:r>
        <w:t>En sa qualité de personne extradée, A. a la qualité pour recourir contre la décision d’extradition au sens de l’art. 21 al. 3 EIMP (ATF 122 II 373 consid. 1b et jurisprudence citée).</w:t>
      </w:r>
    </w:p>
    <w:p>
      <w:r>
        <w:rPr>
          <w:b/>
        </w:rPr>
        <w:t>E. 1.4</w:t>
      </w:r>
    </w:p>
    <w:p>
      <w:r>
        <w:t>Le délai de recours contre la décision d’extradition est de 30 jours dès la communication écrite de celle-ci (art. 50 al. 1 de la loi fédérale du 20 décembre 1968 sur la procédure administrative [PA; RS 172.021], applicable par renvoi de l’art. 39 al. 2 let. b de la loi fédérale du 19 mars 2010 sur l’organisation des autorités pénales de la Confédération [LOAP; RS 173.71]). Déposé à un bureau de poste suisse le 23 décembre 2013, le recours contre la décision notifiée le 26 novembre 2013 est intervenu en temps utile.</w:t>
      </w:r>
    </w:p>
    <w:p>
      <w:r>
        <w:rPr>
          <w:b/>
        </w:rPr>
        <w:t>E. 1.5</w:t>
      </w:r>
    </w:p>
    <w:p>
      <w:r>
        <w:t>Il y a lieu d’entrer en matière.</w:t>
      </w:r>
    </w:p>
    <w:p>
      <w:r>
        <w:rPr>
          <w:b/>
        </w:rPr>
        <w:t>E. 2</w:t>
      </w:r>
    </w:p>
    <w:p>
      <w:r>
        <w:t>Dans un premier grief, le recourant se prévaut d'une violation du principe de la double incrimination et ce à deux titres. D'une part, les faits ne seraient pas constitutifs d'une infraction en droit russe (infra consid. 2.1). D'autre part, ces mêmes faits ne seraient pas constitutifs d'une infraction donnant lieu à l'extradition en droit suisse (infra consid. 2.2). 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d’un maximum d’au moins un an ou d’une peine plus sévère (art. 2 ch. 1 CEExtr; art. 35 al. 1 EIMP).</w:t>
      </w:r>
    </w:p>
    <w:p>
      <w:r>
        <w:rPr>
          <w:b/>
        </w:rPr>
        <w:t>E. 2.1</w:t>
      </w:r>
    </w:p>
    <w:p>
      <w:r>
        <w:t>S'agissant du droit russe, quand bien même l'art. 188 du code pénal russe (CP-RU) est mentionné dans l'acte d'accusation du 25 février 2011 (act. 6.1), cette disposition a été remplacée par l'art. 226.1 de ce même code. Ce dernier article devrait, d'après le recourant, trouver application en la présente espèce, dans la mesure où il prévoit un seuil de punissabilité fixé à RUB 1'000'000.-- (recte: RUB 100'000.--), seuil qui n'existait pas dans la disposition abrogée, rendant le nouveau droit plus favorable. Il ressort de l'acte d'accusation du 25 février 2011 que les faits reprochés à A. sont punissables en vertu de l'art. 188 CP-RU. Néanmoins, cette disposition a été abrogée en date du 7 décembre 2011 et remplacée par l'art. 226.1 de ce même code. L'art. 226.1 réprime la contrebande de "Kulturschätzen in grossem Umfang", "grosser Umfang" se définissant</w:t>
      </w:r>
    </w:p>
    <w:p>
      <w:r>
        <w:t>- 6 -</w:t>
      </w:r>
    </w:p>
    <w:p>
      <w:r>
        <w:t>comme dépassant la valeur de RUB 100'000.-- (art. 226.1 ch. 4 CP-RU). Sur demande de l'OFJ (act. 6.11), les autorités russes ont indiqué, par note diplomatique du 22 octobre 2013, que l'art. 188 CP-RU serait applicable à A. dans la mesure où le nouveau droit ne lui était pas plus favorable (art. 9 cum 10 CP-RU; act. 6.12). Le comportement tel que décrit dans l'acte d'accusation présenté par les autorités russes est constitutif de contrebande telle que réprimée par les art. 188 et 226.1 CP-RU. La différence entre les deux dispositions consiste en l'introduction d'un seuil nécessaire à la poursuite, par ailleurs très bas (RUB 100'000.-- équivalent à environ CHF 2'600.--), définissant les biens culturels pouvant faire l'objet de la contrebande. L'acte d'accusation présenté par les autorités russes, quand bien même ne contiendrait-il pas d'estimation de la valeur des biens en cause, fait état d'une liste de quelques 700 objets (pièces de monnaie et certains fragments qui n'ont pas été quantifiés non compris), parmi lesquels des perles, des boucles d'oreilles, des bagues, des lames de sabre, des épées et une dague, issus de fouilles et saisis à la frontière russo-finlandaise. Vu leur nombre et leur nature, il est excessivement douteux que leur valeur soit inférieure au seuil fixé à l'art. 226.1 CP-RU. Finalement, il doit être relevé que les autorités russes, expressément interpellées à ce sujet par l'OFJ, ont réaffirmé poursuivre A. quand bien même le seuil de RUB 100'000.-- a été instauré dans le code pénal (act. 6.12), ce qui permet d'admettre que ledit seuil est dépassé. Quoi qu'il en soit, cette question relève de la procédure au fond et n'a pas à être traitée dans le cadre de la présente procédure. Il sied de s'en tenir au principe de la confiance régissant les relations internationales et considérer que, comme l'affirment les autorités russes, l'art. 188 CP-RU trouve application, satisfaisant ainsi aux exigences posées par le principe de la double incrimination.</w:t>
      </w:r>
    </w:p>
    <w:p>
      <w:r>
        <w:rPr>
          <w:b/>
        </w:rPr>
        <w:t>E. 2.2</w:t>
      </w:r>
    </w:p>
    <w:p>
      <w:r>
        <w:t>S'agissant du droit suisse, le recourant argue du fait qu'aucune infraction donnant lieu à extradition ne saurait être retenue en l'espèce.</w:t>
      </w:r>
    </w:p>
    <w:p>
      <w:r>
        <w:rPr>
          <w:b/>
        </w:rPr>
        <w:t>E. 2.2.1</w:t>
      </w:r>
    </w:p>
    <w:p>
      <w:r>
        <w:t>En particulier, les éléments constitutifs des art. 137 et 139 CP ne seraient pas réalisés dans la mesure où aucun bris de la possession ou soustraction n'aurait eu lieu, les autorités russes n'exposant pas, dans l'acte d'accusation, que les objets saisis appartenaient à l'Etat russe. Il ressort de l'acte d'accusation du 25 février 2011 que les objets saisis à la douane de Vyborg ont été obtenus dans le cadre de fouilles effectuées dans la région de Z. Si les autorités requérantes ne mentionnent pas expressément leur titre de propriété sur les objets, il n'en demeure pas moins que, de toute évidence, ni A. ni les autres personnes impliquées</w:t>
      </w:r>
    </w:p>
    <w:p>
      <w:r>
        <w:t>- 7 -</w:t>
      </w:r>
    </w:p>
    <w:p>
      <w:r>
        <w:t>dans la procédure russe ne justifient en être eux-mêmes propriétaires de bonne foi. Par conséquent, les faits pourraient être constitutifs d'appropriation illégitime (art. 137 CP) ou de vol (art. 139 CP), ces infractions du droit suisse devant être admises dans le cadre de l'analyse de la double incrimination.</w:t>
      </w:r>
    </w:p>
    <w:p>
      <w:r>
        <w:rPr>
          <w:b/>
        </w:rPr>
        <w:t>E. 2.2.2</w:t>
      </w:r>
    </w:p>
    <w:p>
      <w:r>
        <w:t>Quant aux art. 24 al. 1 let. a et b de la loi fédérale sur le transfert international des biens culturels (LTBC; RS 444.1) et 120 al. 1 let. a et al. 3 de la loi fédérale sur les douanes (LD; RS 631.1), seule une tentative pourrait être retenue, dans la mesure où une exportation n'est pas intervenue puisque les objets ont été saisis avant que la frontière russo- finlandaise n'ait été physiquement traversée. En application de la jurisprudence du Tribunal fédéral, la peine pour ces infractions commises sous la forme de la tentative devrait obligatoirement être inférieure à la peine menace, qui, elle, est d'un an de peine privative de liberté. Ainsi, la peine applicable serait en tout état inférieure à un an de privation de liberté et ne satisferait pas aux exigences en la matière pour accorder l'extradition. Contrairement à l'argumentation du recourant, la conséquence sur la fixation de la peine de la question du degré de réalisation de l'infraction prévue par les art. 24 al. 1 let. a et b LTBC et 120 al. 1 let. a et al. 3 LD n'a pas à être traitée dans le cadre de la présente procédure. En effet, seule la peine menace prévue par les dispositions dont les conditions paraissent réalisées doit être prise en compte pour décider si les conditions des art. 2 ch. 1 CEExtr et art. 35 al. 1 EIMP sont remplies. En l'espèce, les faits tels qu'ils sont décrits dans l'acte d'accusation du 25 février 2011 pourraient être constitutifs, en droit suisse, d'exportation de biens culturels volés ou dont le propriétaire s'est trouvé dessaisi sans sa volonté ou d'appropriation du produit de fouilles au sens de l'art. 724 du code civil, infractions qui sont prévues par l'art. 24 al. 1 let. a et b LTBC, ou encore de violation d'une interdiction ou d'une restriction d'exportation en ne déclarant pas les marchandises, en les dissimulant, en les déclarant inexactement ou de toute autre manière, comportement réprimé par l'art. 120 al. 1 let. a et al. 3 LD, que ce soit sous forme de tentative ou non. Tant l'art. 24 al. 1 let. a et b LTBC que l'art. 120 al. 1 let. a et al. 3 LD prévoient une peine menace d'un an de privation de liberté, et tombent ainsi dans le champ des art. 2 ch. 1 CEExtr et art. 35 al. 1 EIMP. Quant à l'interprétation qui doit être faite de la notion d'exportation, il n'appartient pas au juge de l'extradition d'y procéder, cette tâche revenant au juge du fond.</w:t>
      </w:r>
    </w:p>
    <w:p>
      <w:r>
        <w:rPr>
          <w:b/>
        </w:rPr>
        <w:t>E. 2.3</w:t>
      </w:r>
    </w:p>
    <w:p>
      <w:r>
        <w:t>Ainsi, le grief lié à la violation de la double incrimination doit être rejeté.</w:t>
      </w:r>
    </w:p>
    <w:p>
      <w:r>
        <w:t>- 8 -</w:t>
      </w:r>
    </w:p>
    <w:p>
      <w:r>
        <w:rPr>
          <w:b/>
        </w:rPr>
        <w:t>E. 3</w:t>
      </w:r>
    </w:p>
    <w:p>
      <w:r>
        <w:t>Dans un second moyen, le recourant argue du fait qu'il existe un risque de traitements inhumains et dégradants qui lui seraient infligés pour le cas où il était extradé vers la Russie. De plus, son droit à un procès n'y serait pas garanti (art. 3 et 6 CEDH). Ainsi, il invoque une violation de l'art. 2 let. a EIMP aux termes duquel la demande de coopération en matière pénale est irrecevable s’il y a lieu d’admettre que la procédure à l’étranger n’est pas conforme aux principes de procédure fixés par la CEDH ou le Pacte ONU II.</w:t>
      </w:r>
    </w:p>
    <w:p>
      <w:r>
        <w:rPr>
          <w:b/>
        </w:rPr>
        <w:t>E. 3.1</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129 II 268 consid. 6.1). La Suisse elle-même contreviendrait à ses obligations internationales en extradant une personne à un Etat où il existe des motifs sérieux de penser qu'un risque de traitement contraire à la CEDH ou au Pacte ONU II menace l'intéressé. Comme cela résulte du libellé de l'art. 2 EIMP, cette règle s'applique à toutes les formes de la coopération internationale, y compris la "petite" entraide (ATF 129 précité, ibidem). L’examen des conditions posées par cette disposition implique un jugement de valeur sur les affaires internes de l’Etat requérant, en particulier sur son régime politique, sur ses institutions, sur sa conception des droits fondamentaux et leur respect effectif, ainsi que sur l’indépendance et l’impartialité du pouvoir judiciaire (ATF 126 II 324 consid. 4; 125 II 356 consid. 8a; 123 II 161 consid. 6b, 511 consid. 5b; 111 Ib 138 consid. 4). Le juge de la coopération doit donc faire preuve à cet égard d’une prudence particulière (ATF 125 II 356 consid. 8a; TPF 2008 56 consid. 3.3 in fine).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la menaçant de manière concrète (ATF 123 II 161 consid. 6a; arrêts du Tribunal pénal fédéral RR.2009.24 et RR.2009.96 du 6 mai 2009, consid. 4.1 et la jurisprudence citée).</w:t>
      </w:r>
    </w:p>
    <w:p>
      <w:r>
        <w:rPr>
          <w:b/>
        </w:rPr>
        <w:t>E. 3.2</w:t>
      </w:r>
    </w:p>
    <w:p>
      <w:r>
        <w:t>Les griefs soulevés par le recourant sont de nature générale. Ils se rapportent aux conditions de détention, aux mauvais traitements et aux renvois forcés, ainsi qu'au manque d'indépendance de la justice russe. Le recourant perd de vue que la Fédération de Russie fait partie, selon la pratique en vigueur, des Etats auxquels l'entraide judiciaire et l'extradition peuvent être accordées, moyennant l'octroi de garanties diplomatiques</w:t>
      </w:r>
    </w:p>
    <w:p>
      <w:r>
        <w:t>- 9 -</w:t>
      </w:r>
    </w:p>
    <w:p>
      <w:r>
        <w:t>concernant les conditions de détention, le respect de l'intégrité physique et psychique et de la santé du prévenu (ATF 134 IV 156 consid. 6.11). Le recourant se fonde sur l'arrêt Ananyev et autres contre Russie qui, pourtant, ne concerne pas un cas d'extradition avec garanties et n'interdit pas aux Etats d'extrader des fugitifs à la Russie, mais réaffirme le besoin de demander des garanties. De plus, sans toutefois s'en prendre au contenu même des garanties fournies par les autorités russes (act. 6.10), le recourant critique de manière générale la pratique suisse et internationale qui consiste à recourir aux garanties diplomatiques. Cependant, jusqu'à présent, il n'apparaît pas que les autorités russes auraient failli à leurs engagements à ce propos, ce qui constitue un motif sérieux de croire au respect des garanties offertes par les autorités requérantes dans le cas particulier. Le présent cas se rapporte à de purs délits économiques, sans comparaison possible avec les faits qui sont à la base du refus de l'entraide judiciaire dans le cadre de l'affaire Yukos (arrêt 1A.29/2007 du 13 août 2007). Finalement, le recourant invoque des décisions prises par les tribunaux britanniques dans les causes Fotinova, Trefilov et Tuyrin. Comme le recourant l'admet lui-même, ces décisions ne lient pas les autorités suisses. Partant, il n'y a, en l'état actuel, pas lieu de modifier la pratique adoptée jusque-là.</w:t>
      </w:r>
    </w:p>
    <w:p>
      <w:r>
        <w:rPr>
          <w:b/>
        </w:rPr>
        <w:t>E. 3.3</w:t>
      </w:r>
    </w:p>
    <w:p>
      <w:r>
        <w:t>Le grief lié à la violation des art. 3 et 6 CEDH et 2 let. a EIMP doit ainsi être rejeté.</w:t>
      </w:r>
    </w:p>
    <w:p>
      <w:r>
        <w:rPr>
          <w:b/>
        </w:rPr>
        <w:t>E. 4</w:t>
      </w:r>
    </w:p>
    <w:p>
      <w:r>
        <w:t>Le recours doit ainsi être rejeté.</w:t>
      </w:r>
    </w:p>
    <w:p>
      <w:r>
        <w:rPr>
          <w:b/>
        </w:rPr>
        <w:t>E. 4.1</w:t>
      </w:r>
    </w:p>
    <w:p>
      <w:r>
        <w:t>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de la loi fédérale sur l'organisation des autorités pénales de la Confédération [LOAP; RS 173.71]). Le recourant supportera ainsi les frais du présent arrêt lesquels sont fixés à CHF 4'000.-- (art. 73 al. 2 LOAP et art. 8 al. 3 du règlement du Tribunal pénal fédéral sur les frais, émoluments, dépens et indemnités de la procédure pénale fédérale du 31 août 2010 [RFPPF; RS 173.713.162] et art. 63 al. 5 PA), entièrement couverts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