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RR.2013.373 vom 25. Februar 2014</w:t>
      </w:r>
    </w:p>
    <w:p>
      <w:r>
        <w:t>Bundesstrafgericht, 2014-02-25, FR</w:t>
      </w:r>
    </w:p>
    <w:p>
      <w:r>
        <w:rPr>
          <w:b/>
        </w:rPr>
        <w:t xml:space="preserve">Quelle: </w:t>
      </w:r>
      <w:r>
        <w:t>https://mcp.opencaselaw.ch/entscheid/bstger_RR.2013.373</w:t>
      </w:r>
    </w:p>
    <w:p>
      <w:r>
        <w:t>FR: TPF RR.2013.373 du 25 février 2014</w:t>
      </w:r>
    </w:p>
    <w:p>
      <w:r>
        <w:t>IT: TPF RR.2013.373 del 25 febbraio 2014</w:t>
      </w:r>
    </w:p>
    <w:p>
      <w:pPr>
        <w:pStyle w:val="Heading2"/>
      </w:pPr>
      <w:r>
        <w:t>Regeste</w:t>
      </w:r>
    </w:p>
    <w:p>
      <w:r>
        <w:t>Extradition à la République de Macédoine. Décision d'extradition (art. 55 al. 1 EIMP); objection de délit politique (art. 55 al. 2 EIMP); assistance judiciaire (art. 65 PA).</w:t>
      </w:r>
    </w:p>
    <w:p>
      <w:pPr>
        <w:pStyle w:val="Heading2"/>
      </w:pPr>
      <w:r>
        <w:t>Erwägungen</w:t>
      </w:r>
    </w:p>
    <w:p>
      <w:r>
        <w:rPr>
          <w:b/>
        </w:rPr>
        <w:t>E. 1.1</w:t>
      </w:r>
    </w:p>
    <w:p>
      <w:r>
        <w:t>L'extradition entre la Suisse et la République de Macédoine est régie par la Convention européenne d’extradition (CEExtr; RS 0.353.1), entrée en vigueur le 20 mars 1967 pour la Suisse et le 26 octobre 1999 pour la Macédoine, par le Protocole additionnel à la CEExtr du 15 octobre 1975 (RS 0.353.11), ainsi que par le deuxième Protocole additionnel à la CEExtr du 17 mars 1978 (RS 0.353.12), entrés en vigueur le 9 juin 1985 pour la Suisse et le 26 octobre 1999 pour la Macédoine. Pour le surplus, la loi</w:t>
      </w:r>
    </w:p>
    <w:p>
      <w:r>
        <w:t>- 4 -</w:t>
      </w:r>
    </w:p>
    <w:p>
      <w:r>
        <w:t>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 Aux termes de l’art. 55 al. 2 EIMP, la Cour de céans est également compétente pour statuer en première instance sur l’objection de délit politique, lorsque la personne poursuivie prétend l’être pour un tel délit. En pareille hypothèse, l’OFJ envoie le dossier à la Cour avec sa proposition. La personne poursuivie a la possibilité de se prononcer.</w:t>
      </w:r>
    </w:p>
    <w:p>
      <w:r>
        <w:rPr>
          <w:b/>
        </w:rPr>
        <w:t>E. 1.3</w:t>
      </w:r>
    </w:p>
    <w:p>
      <w:r>
        <w:t>En sa qualité de personne extradée, A. a la qualité pour recourir contre la décision d’extradition au sens de l’art. 21 al. 3 EIMP (ATF 122 II 373 consid. 1b et jurisprudence citée).</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23 janvier 2014, le recours contre la décision notifiée le 24 décembre 2013 est intervenu en temps utile.</w:t>
      </w:r>
    </w:p>
    <w:p>
      <w:r>
        <w:rPr>
          <w:b/>
        </w:rPr>
        <w:t>E. 1.5</w:t>
      </w:r>
    </w:p>
    <w:p>
      <w:r>
        <w:t>Il y a lieu d’entrer en matière.</w:t>
      </w:r>
    </w:p>
    <w:p>
      <w:r>
        <w:rPr>
          <w:b/>
        </w:rPr>
        <w:t>E. 2</w:t>
      </w:r>
    </w:p>
    <w:p>
      <w:r>
        <w:t>Vu la connexité existant entre la demande de l’OFJ visant à faire trancher l’objection de délit politique soulevée par A., d’une part, et le recours formé par celui-ci contre la décision ordonnant son extradition, d’autre part, il se justifie de joindre les causes RR.2013.373+RP.2014.2 et RR.2014.23 +RP.2014.3 (v. arrêt du Tribunal pénal fédéral RR.2009.24+RR.2009.96 du</w:t>
      </w:r>
    </w:p>
    <w:p>
      <w:r>
        <w:rPr>
          <w:b/>
        </w:rPr>
        <w:t>E. 6</w:t>
      </w:r>
    </w:p>
    <w:p>
      <w:r>
        <w:t>Au vu de ce qui précède, le recours interjeté contre la décision d'extradition doit être rejeté.</w:t>
      </w:r>
    </w:p>
    <w:p>
      <w:r>
        <w:rPr>
          <w:b/>
        </w:rPr>
        <w:t>E. 7</w:t>
      </w:r>
    </w:p>
    <w:p>
      <w:r>
        <w:t>Le recourant sollicite l’octroi de l’assistance judiciaire et la nomination de Me Ilir Cenko en qualité de défenseur d’office.</w:t>
      </w:r>
    </w:p>
    <w:p>
      <w:r>
        <w:rPr>
          <w:b/>
        </w:rPr>
        <w:t>E. 7.1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7.2</w:t>
      </w:r>
    </w:p>
    <w:p>
      <w:r>
        <w:t>En l'espèce, les griefs soulevés par le recourant se sont avérés très largement dénués de chances de succès. En effet, force est de constater que le seul grief à l'appui du recours contre la décision d'extradition, à</w:t>
      </w:r>
    </w:p>
    <w:p>
      <w:r>
        <w:t>- 10 -</w:t>
      </w:r>
    </w:p>
    <w:p>
      <w:r>
        <w:t>savoir la prétendue violation du droit d'être entendu, était d'emblée voué à l'échec. Quant aux arguments développés à l'appui de l'objection de délit politique, ceux-ci étaient manifestement infondés.</w:t>
      </w:r>
    </w:p>
    <w:p>
      <w:r>
        <w:rPr>
          <w:b/>
        </w:rPr>
        <w:t>E. 7.3</w:t>
      </w:r>
    </w:p>
    <w:p>
      <w:r>
        <w:t>Partant, la requête d'assistance judiciaire doit être rejetée. 8.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mis à la charge du recourant qui succombe (art. 63 al. 1 PA). L’émolument judiciaire, calculé conformément à l’art. 5 du règlement du 31 août 2010 sur les frais, émoluments, dépens et indemnités de la procédure pénale fédérale (RFPPF; RS 173.713.162; v. art. 63 al. 5 PA) est fixé, compte tenu de la situation financière du recourant, à CHF 500.--.</w:t>
      </w:r>
    </w:p>
    <w:p>
      <w:r>
        <w:t>- 11 -</w:t>
      </w:r>
    </w:p>
    <w:p>
      <w:r>
        <w:rPr>
          <w:b/>
        </w:rPr>
        <w:t>E. 11</w:t>
      </w:r>
    </w:p>
    <w:p>
      <w:r>
        <w:t>décembre 2007, consid. 3; RR.2007.31 du 21 mars 2007,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