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RR.2013.364 vom 12. Dezember 2013</w:t>
      </w:r>
    </w:p>
    <w:p>
      <w:r>
        <w:t>Bundesstrafgericht, 2013-12-12, IT</w:t>
      </w:r>
    </w:p>
    <w:p>
      <w:r>
        <w:rPr>
          <w:b/>
        </w:rPr>
        <w:t xml:space="preserve">Quelle: </w:t>
      </w:r>
      <w:r>
        <w:t>https://mcp.opencaselaw.ch/entscheid/bstger_RR.2013.364</w:t>
      </w:r>
    </w:p>
    <w:p>
      <w:r>
        <w:t>FR: TPF RR.2013.364 du 12 décembre 2013</w:t>
      </w:r>
    </w:p>
    <w:p>
      <w:r>
        <w:t>IT: TPF RR.2013.364 del 12 dicembre 2013</w:t>
      </w:r>
    </w:p>
    <w:p>
      <w:pPr>
        <w:pStyle w:val="Heading2"/>
      </w:pPr>
      <w:r>
        <w:t>Regeste</w:t>
      </w:r>
    </w:p>
    <w:p>
      <w:r>
        <w:t>Assistenza giudiziaria internazionale in materia penale all'Italia. Consegna di mezzi di prova (art. 74 AIMP).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