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RR.2013.363 vom 11. März 2014</w:t>
      </w:r>
    </w:p>
    <w:p>
      <w:r>
        <w:t>Bundesstrafgericht, 2014-03-11, FR</w:t>
      </w:r>
    </w:p>
    <w:p>
      <w:r>
        <w:rPr>
          <w:b/>
        </w:rPr>
        <w:t xml:space="preserve">Quelle: </w:t>
      </w:r>
      <w:r>
        <w:t>https://mcp.opencaselaw.ch/entscheid/bstger_RR.2013.363</w:t>
      </w:r>
    </w:p>
    <w:p>
      <w:r>
        <w:t>FR: TPF RR.2013.363 du 11 mars 2014</w:t>
      </w:r>
    </w:p>
    <w:p>
      <w:r>
        <w:t>IT: TPF RR.2013.363 del 11 marzo 2014</w:t>
      </w:r>
    </w:p>
    <w:p>
      <w:pPr>
        <w:pStyle w:val="Heading2"/>
      </w:pPr>
      <w:r>
        <w:t>Regeste</w:t>
      </w:r>
    </w:p>
    <w:p>
      <w:r>
        <w:t>Entraide judiciaire internationale en matière pénale su Royaume-Uni. Remise de moyens de preuve (art. 74 EIMP). Assistance judiciaire gratuite (art. 65 PA).</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En l’espèce, trouvent également application les dispositions de la Convention relative au blanchiment, au dépistage, à la saisie et à la confiscation des produits du crime (CBl; RS 0.311.53), entrée en vigueur le 1er septembre 1993. Les art. 48 ss de la Convention d’application de l’Accord Schengen du 14 juin 1985 (CAAS; n° CELEX 42000A0922(02); Journal officiel de l’Union européenne L 239 du 22 septembre 2000, p. 19 à 62; publication de la Chancellerie fédérale, "Entraide et extradition") s’appliquent également à l’entraide pénale entre la Suisse et le Royaume-Uni (v. Décision du Conseil du 29 mai 2000 relative à la demande du Royaume-Uni de Grande- Bretagne et d’Irlande du Nord de participer à certaines dispositions de l’acquis de Schengen, in Journal officiel de l’Union européenne L 131 du 1er juin 2000, p. 43 à 47).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dirigés contre les décisions de clôture de la procédure d’entraide rendues par l’autorité cantonale d’exécution.</w:t>
      </w:r>
    </w:p>
    <w:p>
      <w:r>
        <w:rPr>
          <w:b/>
        </w:rPr>
        <w:t>E. 1.3</w:t>
      </w:r>
    </w:p>
    <w:p>
      <w:r>
        <w:t>Le délai de recours contre l’ordonnance de clôture est de 30 jours dès la communication écrite de celle-ci (art. 80k EIMP). Déposé à un bureau de poste suisse le 9 décembre 2013, le recours contre la décision notifiée le 7 novembre 2013 est intervenu en temps utile.</w:t>
      </w:r>
    </w:p>
    <w:p>
      <w:r>
        <w:t>- 5 -</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Point n'est besoin qu'elle soit affectée dans ses droits et obligations; il suffit qu'elle soit concrètement touchée – matériellement ou juridiquement – par la mesure ordonnée (ATF 122 II 130 consid. 2b; 119 Ib 56 consid. 2a; arrêt du Tribunal pénal fédéral RR.2009.281 du 7 juillet 2010, consid. 2.2). Lorsque, comme en l'espèce,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notamment dans deux cas. Une de ces exceptions est réalisée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(voir arrêt du Tribunal fédéral 1A.243/2006 du 4 janvier 2007, consid. 1.2; arrêt du Tribunal pénal fédéral RR.2009.281 du 7 juillet 2010, consid. 2.2). Les procès-verbaux des auditions de A. interrogée en qualité de prévenue les 14 octobre 2008 (PV n° 10 et 11), 14 novembre 2008 (PV n° 14), 9 décembre 2008 (PV n° 16) et 18 mars 2009 (PV n° 20) et les 19 juin 2008 (PV n° 1) et 1er juillet 2008 (PV n° 2) en qualité de personne appelée à donner des renseignements ont été obtenus par la Suisse indépendamment de la demande d’entraide. Cependant, les faits sur lesquels la recourante a été interrogée dans le cadre de l’enquête suisse sont étroitement liés à ceux qui font l’objet de l’enquête et de la demande d’entraide britannique. Il ne faut en effet pas perdre de vue que telle</w:t>
      </w:r>
    </w:p>
    <w:p>
      <w:r>
        <w:t>- 6 -</w:t>
      </w:r>
    </w:p>
    <w:p>
      <w:r>
        <w:t>situation s’explique par le fait que l’enquête suisse a puisé ses origines dans la demande britannique d’extradition de B. Les auditions des 19 juin 2008, 1er juillet 2008, 14 octobre 2008, 14 novembre 2008, 9 décembre 2008 et 18 mars 2009 ont porté sur la situation personnelle de A. ainsi que les relations personnelles et professionnelles qu'elle a entretenues avec B., C. et différentes sociétés contrôlées par le couple A. et B. Eu égard à la jurisprudence rappelée, la recourante doit être admise à s’opposer à la transmission des procès-verbaux de ses auditions effectuées dans le cadre de l’enquête suisse. Les procès-verbaux des auditions de C. des 11 juillet 2008 (PV n° 3), 13 novembre 2008 (PV n° 13) et 3 mars 2009 (PV n° 19), de D. du 11 novembre 2008 (PV n° 12) et de B. du 2 décembre 2008 (PV n° 15) ont partiellement pour objet des informations relatives aux opérations effectuées par A. au moyen de comptes bancaires dont elle est titulaire. Cette dernière dispose ainsi de la qualité pour recourir contre leur transmission, dans la mesure où les procès-verbaux portent sur ce type d'informations. Parmi les pièces listées dans la décision de clôture, se trouvent également une lettre de la banque E. à laquelle est jointe la documentation bancaire relative aux comptes de A. d'une part et de deux sociétés d'autre part (pièce 55). A. dispose de la qualité pour recourir contre la transmission de ces pièces pour ce qui est des informations relatives aux comptes ouverts en son nom. Egalement, A. est légitimée à recourir contre la transmission des pièces 127/4 ("Pièce justificative concernant le transfert de EUR 20'000.-"), 198 ("Lettre de Me F., du 06.01.2009 avec ses huit annexes"), 252 ("Rapport de l'analyste comptable de l'OJIC du 27.05.2009"), 388/1 ("Procuration annexée à la lettre de la banque G., du 27.07.2011"), 41/1-41/88 ("Relevés de la carte de crédit no 1 au nom de A.") dont la transmission reviendrait à transmettre des informations bancaires relatives à des comptes dont A. est titulaire. Dans la mesure où les neuf autres pièces listées dans la décision de clôture ne concernent pas, ou pas directement A., la qualité pour recourir contre leur transmission ne peut lui être reconnue. Le recours est ainsi irrecevable contre la transmission des pièces 122/2 ("Jugement du 03.05.2005 rendu à l'encontre de B., annexé à la lettre de Me H., du 13.10.2008"), 122/4 ("Copie du "Commission agreement" conclu entre I. Sàrl et B. du 01.10.2000"), 125 ("Rapport intermédiaire de la Brigade financière du 15.10.2008"), 368/2 ("Traduction de l'audition de J. par la</w:t>
      </w:r>
    </w:p>
    <w:p>
      <w:r>
        <w:t>- 7 -</w:t>
      </w:r>
    </w:p>
    <w:p>
      <w:r>
        <w:t>police judiciaire fédérale Anvers du 28.09.2010"), 368/3 ("Traduction de l'audition de K. par la police judiciaire fédérale Anvers du 28.09.2010") ainsi que des PV n° 4 (Procès-verbal d'audition de B. par le substitut du Juge d'instruction cantonal du 16 juillet 2008), n° 9 (Procès-verbal d'audition de L. par la police de sûreté du 19 septembre 2008), n° 17 (Procès-verbal d'audition de B. par le substitut du Juge d'instruction cantonal du 10 décembre 2008) et n° 21 (Procès-verbal d'audition de C. par le substitut du Juge d'instruction cantonal du 6 mai 2009).</w:t>
      </w:r>
    </w:p>
    <w:p>
      <w:r>
        <w:rPr>
          <w:b/>
        </w:rPr>
        <w:t>E. 1.5</w:t>
      </w:r>
    </w:p>
    <w:p>
      <w:r>
        <w:t>Le recours est recevable dans la mesure établie ci-dessus.</w:t>
      </w:r>
    </w:p>
    <w:p>
      <w:r>
        <w:rPr>
          <w:b/>
        </w:rPr>
        <w:t>E. 2</w:t>
      </w:r>
    </w:p>
    <w:p>
      <w:r>
        <w:t>Par un grief d’ordre formel qu’il convient d’analyser en premier, la recourante se plaint d’une violation de son droit d’être entendue.</w:t>
      </w:r>
    </w:p>
    <w:p>
      <w:r>
        <w:rPr>
          <w:b/>
        </w:rPr>
        <w:t>E. 2.1</w:t>
      </w:r>
    </w:p>
    <w:p>
      <w:r>
        <w:t>Le droit d’être entendu garanti par l'art. 29 al. 2 Cst. inclut pour les parties le droit de s'expliquer avant qu'une décision ne soit prise à leur détriment, de fournir des preuves quant aux faits de nature à influer sur la décision, de participer à l'administration des preuves, d'en prendre connaissance et de se déterminer à leur propos (ATF 135 II 286 consid. 5.1; 129 I 85 consid. 4.1; 129 II 497 consid. 2.2; 127 I 54 consid. 2b, et les arrêts cités). Le droit d'être entendu garantit également aux parties le droit de recevoir les décisions qui les concernent (v. ATF 107 Ib 170 consid. 3).</w:t>
      </w:r>
    </w:p>
    <w:p>
      <w:r>
        <w:rPr>
          <w:b/>
        </w:rPr>
        <w:t>E. 2.2.1</w:t>
      </w:r>
    </w:p>
    <w:p>
      <w:r>
        <w:t>En l'espèce, A. indique dans son mémoire de recours que, "dans le cadre de cette affaire, le Ministère public reconnaît clairement que des documents avaient été remis aux autorités anglaises à l'occasion d'une décision de clôture partielle. La recourante n'a pas été interpellée à ce moment. Son droit d'être entendu a ainsi été violé" (mémoire de recours, act. 1 p. 7). Une décision de clôture partielle a en effet été rendue en lien avec la présente procédure d'entraide. Néanmoins, elle n'avait pas à être communiquée à A. qui n'était pas partie s'agissant des pièces à transmettre dans le cadre de cette décision dans la mesure où celles-ci ne la concernaient pas.</w:t>
      </w:r>
    </w:p>
    <w:p>
      <w:r>
        <w:rPr>
          <w:b/>
        </w:rPr>
        <w:t>E. 2.2.2</w:t>
      </w:r>
    </w:p>
    <w:p>
      <w:r>
        <w:t>De plus, dans sa réplique, la recourante ajoute que la décision d'entrée en matière ne lui a pas été notifiée. Force est de constater que la décision d'entrée en matière relative à la présente procédure d'entraide datée du</w:t>
      </w:r>
    </w:p>
    <w:p>
      <w:r>
        <w:rPr>
          <w:b/>
        </w:rPr>
        <w:t>E. 2.2.3</w:t>
      </w:r>
    </w:p>
    <w:p>
      <w:r>
        <w:t>Finalement, A. précise dans sa réplique qu'elle n'a pas été informée de "l'échange de correspondance ou autre [qui] serait survenu en juin 2013" (réplique, act. 12 p. 1). Le MP-VD admet qu'il n'était pas fait mention du "contact survenu en juin 2013" (réponse MP-VD, act. 5 p. 2) dans le dossier de la procédure d'entraide, dossier qui a été consulté par la recourante par l'intermédiaire de son avocat le 20 septembre 2013. La pièce litigieuse n'étant qu'un rappel britannique adressé aux autorités suisses quant à l'exécution de leur demande d'entraide, elle n'est, à l'évidence, pas parmi les documents que la jurisprudence considère comme étant fondamentaux à la compréhension de la cause et à l'exercice des droits du justiciable. Il en découle que, même à supposer la non consultation de ladite pièce, ce qui n'a pas été le cas en l'espèce, le droit d'être entendue de la recourante n'en aurait pas été violé pour autant. Manifestement infondée l'allégation de la recourante doit être rejetée.</w:t>
      </w:r>
    </w:p>
    <w:p>
      <w:r>
        <w:rPr>
          <w:b/>
        </w:rPr>
        <w:t>E. 2.3</w:t>
      </w:r>
    </w:p>
    <w:p>
      <w:r>
        <w:t>Partant, le droit d'être entendue de la recourante n'a pas été violé. 3. Dans un second grief, la recourante argue du fait que la transmission des pièces listées dans la décision de clôture viole le principe de la proportionnalité. En effet, plusieurs des pièces à transmettre n'auraient aucun lien avec les infractions poursuivies les autorités britanniques dans la mesure où la procédure ouverte en Suisse et dont sont issues les pièces à transmettre ne serait "aucunement en lien avec l'enquête en Angleterre" (mémoire de recours, act. 1 p. 5). De plus, la recourante considère qu'"il semble clairement établi que la demande apparaît comme un prétexte à la recherche indéterminée de moyens de preuve" (mémoire de recours, act. 1 p. 6). 3.1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w:t>
      </w:r>
    </w:p>
    <w:p>
      <w:r>
        <w:t>- 9 -</w:t>
      </w:r>
    </w:p>
    <w:p>
      <w:r>
        <w:t>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w:t>
      </w:r>
    </w:p>
    <w:p>
      <w:r>
        <w:rPr>
          <w:b/>
        </w:rPr>
        <w:t>E. 5</w:t>
      </w:r>
    </w:p>
    <w:p>
      <w:r>
        <w:t>décembre 2011 n'a pas été notifiée à A. Cependant, en même temps qu'il a sollicité de la part de A. une prise de position sur la transmission des pièces, le MP-VD l'a invitée à consulter le dossier de la cause. La consultation a eu lieu le 20 septembre 2013, soit avant que la décision de clôture n'ait été rendue. Partant, quand bien même la décision d'entrée en</w:t>
      </w:r>
    </w:p>
    <w:p>
      <w:r>
        <w:t>- 8 -</w:t>
      </w:r>
    </w:p>
    <w:p>
      <w:r>
        <w:t>matière n'a pas été immédiatement notifiée à la recourante, son droit d'être entendue a été manifestement respecté sur ce point. A. a ainsi pu participer au tri des pièces et, par la suite, faire valoir ses droits en recourant. Par ailleurs, comme cela ressort des différentes écritures, la recourante n'attaque pas la décision d'entrée en matière conjointement à la décision de clôture.</w:t>
      </w:r>
    </w:p>
    <w:p>
      <w:r>
        <w:rPr>
          <w:b/>
        </w:rPr>
        <w:t>E. 10</w:t>
      </w:r>
    </w:p>
    <w:p>
      <w:r>
        <w:t>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w:t>
      </w:r>
    </w:p>
    <w:p>
      <w:r>
        <w:t>- 10 -</w:t>
      </w:r>
    </w:p>
    <w:p>
      <w:r>
        <w:t>consid. 6.2). S’agissant de comptes susceptibles, comme en l’espèce, d’avoir reçu le produit d’infractions pénales, l’autorité requérante a intérêt à pouvoir prendre connaissance de la documentation d’ouverture du compte, afin notamment de connaître l’identité de l’ayant droit économique et des signataires autorisés. Elle dispose également d’un intérêt à être informée de toute transaction susceptible de s’inscrire dans le mécanisme mis en place par les personnes sous enquête au Royaume-Uni.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3e éd. Berne 2009, n° 722). 3.2 En l’espèce, l'instruction ouverte au Royaume-Uni porte sur l'enlèvement de M., en 2005 et les actes préparatoires à enlèvement et séquestration qui auraient été commis en 2008. Il ressort de l'enquête ouverte en Suisse pour blanchiment d'argent entre autres infractions, que cet enlèvement, respectivement ces actes préparatoires à enlèvement étaient étroitement liés aux actes de blanchiment d'argent qui auraient été commis en Suisse par A. et B. Il est en effet reproché à ces derniers d'avoir transféré en Suisse, en 2005, une partie du produit de l'activité délictueuse déployée par B. au Royaume-Uni consistant en une escroquerie à la TVA (carrousels TVA). Une grande partie des biens dont A. est propriétaire en Suisse aurait été financée au moyen de fonds provenant de ces escroqueries. M. était également impliqué dans les carrousels TVA commis par B. C'est en raison de cette implication qu'il aurait été séquestré en 2005 sur ordre de B. et</w:t>
      </w:r>
    </w:p>
    <w:p>
      <w:r>
        <w:t>- 11 -</w:t>
      </w:r>
    </w:p>
    <w:p>
      <w:r>
        <w:t>que ce dernier aurait eu pour projet de l'enlever à nouveau en 2008. Lors de son enlèvement en 2005, M. aurait été contraint à verser la somme de EUR 400'000.-- sur le compte d'une société dont A. serait la bénéficiaire économique. Cet acte de blanchiment fait également l'objet de la procédure menée en Suisse. Il ressort de ce qui précède que les deux procédures conduites au Royaume-Uni et en Suisse sont étroitement liées, tant s'agissant des motifs de l'enlèvement que du blanchiment du produit du crime en Suisse. Ainsi, la transmission des pièces portant sur les divers mouvements opérés sur les comptes contrôlés par A. est conforme au principe de l'utilité potentielle et, partant, de la proportionnalité. S'agissant du procès-verbal de l'audition de A. du 9 décembre 2008 (PV n° 16), il contient diverses explications sur les rapports entretenus par le couple A. B. et C. et tombe de ce fait dans le champ de la commission rogatoire. De plus, la demande d'entraide ayant été présentée en connaissance de l'existence de la procédure suisse et après la consultation du dossier de ladite procédure par les représentants de l'autorité britannique, l'on peine à voir en quoi la commission rogatoire adressée par les autorités britanniques serait constitutive d'une recherche indéterminée de moyens de preuve. 3.3 En conséquence, le grief doit être rejeté. 4. La recourante, de façon générale et peu détaillée, se prévaut du fait que, selon une note adressée par l'OFJ aux autorités britanniques, l'extradition de B., demandée pour les mêmes faits que ceux à la base de la présente procédure d'entraide, aurait été refusée à cause de la non punissabilité des faits en droit suisse. Ainsi, d'après elle, "il paraît pour le moins douteux que l'on puisse accorder l'entraide dans une affaire où une demande d'extradition a été refusée" (mémoire de recours, act. 1 p. 6-7). Formulé de la sorte, le grief revient implicitement à se prévaloir de la violation du principe de la double incrimination. 4.1 La remise de documents est une mesure de contrainte au sens de l’art. 63 al. 2 let. c EIMP, qui ne peut être ordonnée, selon l’art. 64 al. 1 EIMP mis en relation avec la réserve faite par la Suisse à l’art. 5 ch. 1 let. a CEEJ, que si l’état de fait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w:t>
      </w:r>
    </w:p>
    <w:p>
      <w:r>
        <w:t>- 12 -</w:t>
      </w:r>
    </w:p>
    <w:p>
      <w:r>
        <w:t>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4.2 En l'espèce, l'unique objet de la présente procédure est l'entraide portant sur les faits décrits dans la commission rogatoire du 27 octobre 2011. Il ressort de celle-ci que l'enquête britannique porte sur l'enlèvement de M., ancien associé de B., que ce dernier aurait séquestré en septembre 2005. M. aurait alors été sérieusement battu et ainsi contraint à procéder à un versement d'une somme de EUR 400'000.--. Ces faits sont, prima facie, constitutifs d'extorsion (art. 156 CP), séquestration et enlèvement (art. 183 CP) en droit suisse. Partant, le principe de la double incrimination est respecté. Il est peu compréhensible que la recourante tente de soutenir que le principe de la double incrimination ne serait pas rempli en l'espèce. En effet, la recourante n'est pas sans savoir que dans le cadre de la même enquête étrangère la Suisse a déjà accordé définitivement l'entraide (v. jurisprudence citée let. A). Il n'y a donc plus de place pour mettre en doute la double punissabilité dans le cadre d'une procédure d'entraide complémentaire qui se fonde sur un complexe des faits identique à celui pour lequel des précédentes demandes d'entraide ont été définitivement admises au bout d'une procédure contentieuse. 4.3 Manifestement infondé, le grief doit être rejeté. 5. Ainsi, le recours doit être rejeté dans la mesure de sa recevabilité. 6. La recourante sollicite l’octroi de l’assistance judiciaire et la nomination de Me Robert Fox en qualité de défenseur d’office. 6.1 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w:t>
      </w:r>
    </w:p>
    <w:p>
      <w:r>
        <w:t>- 13 -</w:t>
      </w:r>
    </w:p>
    <w:p>
      <w:r>
        <w:t>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w:t>
      </w:r>
    </w:p>
    <w:p>
      <w:r>
        <w:rPr>
          <w:b/>
        </w:rPr>
        <w:t>E. 11</w:t>
      </w:r>
    </w:p>
    <w:p>
      <w:r>
        <w:t>décembre 2007, consid. 3; RR.2007.31 du 21 mars 2007, consid. 3). 6.2 En l'espèce, les griefs soulevés par la recourante se sont avérés irrecevables ou très largement dénués de chances de succès. En effet, force est de constater que le premier des trois griefs invoqués par la recourante, soit la violation du droit d'être entendu, était d'emblée voué à l'échec. Le second grief, relatif à la violation du principe de la proportionnalité, était lui aussi manifestement dénué de chances de succès. Il sied de relever en particulier que ce grief avait déjà été traité s'agissant des autres pièces provenant du dossier de la procédure suisse portant sur le même objet (voir arrêt RR.2009.281 du 7 juillet 2010, consid. 5). Finalement, s'agissant du grief relatif à la double incrimination, celui-ci était manifestement infondé. 6.3 Partant, la demande d'assistance judiciaire doit être rejetée. 7. Il s’ensuit que les frais de procédure comprenant l'émolument d'arrêté, les émoluments de chancellerie et les débours seront mis à la charge de la recourante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5 et 8 al. 3 du règlement du Tribunal pénal fédéral sur les frais, émoluments, dépens et indemnités de la procédure pénale fédérale du 31 août 2010 [RFPPF; RS 173.713.162] et art. 63 al. 5 PA). La recourante supportera ainsi les frais du présent arrêt qui seront fixés à CHF 4'000.--.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