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RR.2013.331 vom 3. Juni 2014</w:t>
      </w:r>
    </w:p>
    <w:p>
      <w:r>
        <w:t>Bundesstrafgericht, 2014-06-03, IT</w:t>
      </w:r>
    </w:p>
    <w:p>
      <w:r>
        <w:rPr>
          <w:b/>
        </w:rPr>
        <w:t xml:space="preserve">Quelle: </w:t>
      </w:r>
      <w:r>
        <w:t>https://mcp.opencaselaw.ch/entscheid/bstger_RR.2013.331</w:t>
      </w:r>
    </w:p>
    <w:p>
      <w:r>
        <w:t>FR: TPF RR.2013.331 du 3 juin 2014</w:t>
      </w:r>
    </w:p>
    <w:p>
      <w:r>
        <w:t>IT: TPF RR.2013.331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CORPORATION, rappresentata dagli avv. Paolo Ber- 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RR.2013.331</w:t>
      </w:r>
    </w:p>
    <w:p>
      <w:r>
        <w:t>- 2 -</w:t>
      </w:r>
    </w:p>
    <w:p>
      <w:r>
        <w:t>Visti: - il ricorso presentato il 29 novembre 2013 da A. Corporation avverso la deci- sione di chiusura del 22 ottobre 2013 con la quale il Ministero pubblico del Cantone Ticino ha ordinato la trasmissione all'Italia di documentazione con- 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