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RR.2013.326 vom 3. Juni 2014</w:t>
      </w:r>
    </w:p>
    <w:p>
      <w:r>
        <w:t>Bundesstrafgericht, 2014-06-03, IT</w:t>
      </w:r>
    </w:p>
    <w:p>
      <w:r>
        <w:rPr>
          <w:b/>
        </w:rPr>
        <w:t xml:space="preserve">Quelle: </w:t>
      </w:r>
      <w:r>
        <w:t>https://mcp.opencaselaw.ch/entscheid/bstger_RR.2013.326</w:t>
      </w:r>
    </w:p>
    <w:p>
      <w:r>
        <w:t>FR: TPF RR.2013.326 du 3 juin 2014</w:t>
      </w:r>
    </w:p>
    <w:p>
      <w:r>
        <w:t>IT: TPF RR.2013.326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INC., rappresentata dagli avv. Paolo Bernasconi e Andrea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RR.2013.326</w:t>
      </w:r>
    </w:p>
    <w:p>
      <w:r>
        <w:t>- 2 -</w:t>
      </w:r>
    </w:p>
    <w:p>
      <w:r>
        <w:t>Visti: - il ricorso presentato il 29 novembre 2013 da A. Inc.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 Bundesrain 20, 3003 Berna (B 235'561/MUM)</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