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RR.2013.300 vom 6. Mai 2014</w:t>
      </w:r>
    </w:p>
    <w:p>
      <w:r>
        <w:t>Bundesstrafgericht, 2014-05-06, DE</w:t>
      </w:r>
    </w:p>
    <w:p>
      <w:r>
        <w:rPr>
          <w:b/>
        </w:rPr>
        <w:t xml:space="preserve">Quelle: </w:t>
      </w:r>
      <w:r>
        <w:t>https://mcp.opencaselaw.ch/entscheid/bstger_RR.2013.300</w:t>
      </w:r>
    </w:p>
    <w:p>
      <w:r>
        <w:t>FR: TPF RR.2013.300 du 6 mai 2014</w:t>
      </w:r>
    </w:p>
    <w:p>
      <w:r>
        <w:t>IT: TPF RR.2013.300 del 6 maggio 2014</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Grossbritannien und der Schweiz sind mass- gebend das Europäische Übereinkommen vom 20. April 1959 über die Rechtshilfe in Strafsachen (EUeR; SR 0.351.1), das zu diesem Überein- kommen am 8. November 2001 ergangene zweite Zusatzprotokoll (2. ZP; SR 0.351.12), die Bestimmungen der Art. 48 ff. des Übereinkommens vom 19. Juni 1990 zur Durchführung des Übereinkommens von Schengen vom 14. Juni 1985 (Schengener Durchführungsübereinkommen, SDÜ), das Ab- kommen vom 26. Oktober 2004 über die Zusammenarbeit zwischen der Schweizerischen Eidgenossenschaft einerseits und der Europäischen Ge- meinschaft und ihren Mitgliedstaaten andererseits zur Bekämpfung von Be- trug und sonstigen rechtswidrigen Handlungen, die ihre finanziellen Inte- ressen beeinträchtigen (nachfolgend: Betrugsbekämpfungsabkommen bzw. BBA; SR 0.351.926.81, BBl 2004 S. 6184 ff., 6503 ff.) sowie das Überein- kommen vom 8. November 1990 über Geldwäscherei sowie Ermittlung, Beschlagnahme und Einziehung von Erträgen aus Straftaten (GwUe; SR 0.311.53; BGE 133 IV 215 E. 2.1; 123 II 134 E. 5b).</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t>- 4 -</w:t>
      </w:r>
    </w:p>
    <w:p>
      <w:r>
        <w:rPr>
          <w:b/>
        </w:rPr>
        <w:t>E. 2.1</w:t>
      </w:r>
    </w:p>
    <w:p>
      <w:r>
        <w:t>Gemäss Art. 80h lit. b IRSG ist zur Beschwerdeführung berechtigt, wer persönlich und direkt von einer Rechtshilfemassnahme betroffen ist und ein schutzwürdiges Interesse an deren Aufhebung oder Änderung hat. Ein schutzwürdiges Interesse liegt nicht schon dann vor, wenn jemand irgend- eine Beziehung zum Streitobjekt zu haben behauptet. Vielmehr muss eine vom einschlägigen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w:t>
      </w:r>
    </w:p>
    <w:p>
      <w:r>
        <w:t>Als persönlich und direkt betroffen (im Sinne von Art. 80h lit. b und Art. 21 Abs. 3 IRSG) gelten nach der Rechtsprechung Personen, gegen die unmit- telbar Zwangsmassnahmen angeordnet wurden (BGE 128 II 211 E. 2.3-2.5 S. 217 ff.; 123 II 153 E. 2b S. 157, je mit Hinweisen). Der auf ein Rechtshil- fegesuch hin einvernommene Zeuge kann sich nur eingeschränkt gegen die Weitergabe der Einvernahmeprotokolle zur Wehr setzen, d.h. dann, wenn die von ihm verlangten Auskünfte ihn persönlich betreffen oder wenn er sich auf sein Zeugnisverweigerungsrecht beruft (BGE 126 II 258 E. 2d/bb S. 261; 122 II 130 E. 2b S. 133; 121 II 459 E. 2c S. 461 f.; Ent- scheid des Bundesstrafgerichts RR.2007.52 vom 13. Juni 2007, E. 2.2.).</w:t>
      </w:r>
    </w:p>
    <w:p>
      <w:r>
        <w:rPr>
          <w:b/>
        </w:rPr>
        <w:t>E. 2.2</w:t>
      </w:r>
    </w:p>
    <w:p>
      <w:r>
        <w:t>Vorliegend soll das Einvernahmeprotokoll vom 1. November 2012 mit den Zeugenaussagen des Beschwerdeführers herausgegeben werden. Im Zu- sammenhang mit der Zeugenbefragung wurden die Personalien des Be- schwerdeführers aufgenommen, und anschliessend wurde der Beschwer- deführer ausführlich zur Sache befragt, d.h. zu seiner Stellung innerhalb der B. AG, deren Rolle innerhalb des Firmengeflechts rund um die Be- schuldigten, seinen geschäftlichen und persönlichen Beziehungen zu den Beschuldigten – wobei der Beschwerdeführer angab, keine oder nur ge- schäftliche Beziehungen zu den Beschuldigten gehabt zu haben – sowie den Kontoverbindungen der Beschuldigten bei Schweizer Bankinstituten (Verfahrensakten Urk. 19/1-20). Weder betreffen die vom Beschwerdefüh- rer verlangten Auskünfte ihn persönlich im Sinne der oben zitierten Recht- sprechung noch hat er sich auf sein Zeugnisverweigerungsrecht berufen (Verfahrensakten Urk. 19/3). Faktische oder rechtliche Unannehmlichkei- ten, die die Herausgabe des Einvernahmeprotokolls für den Beschwerde- führer mit sich bringen soll (vgl. act. 12 S. 3 f.) genügen jedenfalls nicht, um eine persönliche Betroffenheit des Zeugen im Sinne der Rechtsprechung anzunehmen. Unter diesen Umständen kommt dem Beschwerdeführer kei- ne Legitimation zu, sich mit Beschwerde gegen die Herausgabe des Ein-</w:t>
      </w:r>
    </w:p>
    <w:p>
      <w:r>
        <w:t>- 5 -</w:t>
      </w:r>
    </w:p>
    <w:p>
      <w:r>
        <w:t>vernahmeprotokolls zur Wehr zu setzen. Auf seine Beschwerde ist daher nicht einzutreten.</w:t>
      </w:r>
    </w:p>
    <w:p>
      <w:r>
        <w:rPr>
          <w:b/>
        </w:rPr>
        <w:t>E. 3</w:t>
      </w:r>
    </w:p>
    <w:p>
      <w:r>
        <w:t>Bei diesem Ausgang des Verfahrens wird der Beschwerdeführer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2'000.-- festzusetzen, unter Anrechnung des entsprechenden Betrages am Kosten- vorschuss von Fr. 5'000.--. Die Bundesstrafgerichtskasse ist anzuweisen, dem Beschwerdeführer den Restbetrag von Fr. 3'000.--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