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RR.2013.289 vom 7. Februar 2014</w:t>
      </w:r>
    </w:p>
    <w:p>
      <w:r>
        <w:t>Bundesstrafgericht, 2014-02-07, IT</w:t>
      </w:r>
    </w:p>
    <w:p>
      <w:r>
        <w:rPr>
          <w:b/>
        </w:rPr>
        <w:t xml:space="preserve">Quelle: </w:t>
      </w:r>
      <w:r>
        <w:t>https://mcp.opencaselaw.ch/entscheid/bstger_RR.2013.289</w:t>
      </w:r>
    </w:p>
    <w:p>
      <w:r>
        <w:t>FR: TPF RR.2013.289 du 7 février 2014</w:t>
      </w:r>
    </w:p>
    <w:p>
      <w:r>
        <w:t>IT: TPF RR.2013.289 del 7 febbraio 2014</w:t>
      </w:r>
    </w:p>
    <w:p>
      <w:pPr>
        <w:pStyle w:val="Heading2"/>
      </w:pPr>
      <w:r>
        <w:t>Regeste</w:t>
      </w:r>
    </w:p>
    <w:p>
      <w:r>
        <w:t>Assistenza giudiziaria internazionale in materia penale all'Italia/Consegna di mezzi di prova (art. 74 AIMP): doppia punibilità; proporzionalità.</w:t>
      </w:r>
    </w:p>
    <w:p>
      <w:pPr>
        <w:pStyle w:val="Heading2"/>
      </w:pPr>
      <w:r>
        <w:t>Erwägungen</w:t>
      </w:r>
    </w:p>
    <w:p>
      <w:r>
        <w:rPr>
          <w:b/>
        </w:rPr>
        <w:t>E. 1.1</w:t>
      </w:r>
    </w:p>
    <w:p>
      <w:r>
        <w:t>In virtù dell'art. 37 cpv. 2 lett. a della legge federale del 19 marzo 2010 sull'organizzazione delle autorità penali della Confederazione (LOAP; RS 173.71) e 19 cpv. 1 del regolamento del 31 agosto 2010 sull'organizza-</w:t>
      </w:r>
    </w:p>
    <w:p>
      <w:r>
        <w:t>- 4 -</w:t>
      </w:r>
    </w:p>
    <w:p>
      <w:r>
        <w:t>zione del Tribunale penale federale (ROTPF; RS 173.713.161),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cantonale d’esecuzione, il ricorso è ricevibile sotto il profilo de- gli art. 25 cpv. 1, 80e cpv. 1 e 80k AIMP. La legittimazione della ricorrente, titolare del conto oggetto della criticata misura rogatoriale, è pacifica (v. art. 80h lett. b AIMP e art. 9a lett. a OAIMP; DTF 137 IV 134 consid. 5.2.1; 118 Ib 547 consid. 1d; TPF 2007 79 consid. 1.6).</w:t>
      </w:r>
    </w:p>
    <w:p>
      <w:r>
        <w:rPr>
          <w:b/>
        </w:rPr>
        <w:t>E. 2</w:t>
      </w:r>
    </w:p>
    <w:p>
      <w:r>
        <w:t>La ricorrente censura la violazione del principio della doppia punibilità. Nel complemento rogatoriale del 20 settembre 2013, dove per la prima volta comparirebbe la fattispecie a lei legata nonché la relazione bancaria a lei</w:t>
      </w:r>
    </w:p>
    <w:p>
      <w:r>
        <w:t>- 5 -</w:t>
      </w:r>
    </w:p>
    <w:p>
      <w:r>
        <w:t>intestata, non sarebbero specificati in alcun modo i fatti alla base del reato ipotizzato di riciclaggio di denaro. In ordine alla variante ipotizzata di rici- claggio del provento di infedele dichiarazione, tale condotta, per la quale l'assistenza giudiziaria sarebbe espressamente esclusa, non sarebbe puni- bile secondo il diritto penale svizzero. Per quanto riguarda invece l'ipotesi di riciclaggio di denaro proveniente da un'appropriazione indebita, la rogatoria italiana non conterrebbe nulla in proposito, ciò che non consentirebbe di analizzare il requisito della doppia incriminazione.</w:t>
      </w:r>
    </w:p>
    <w:p>
      <w:r>
        <w:rPr>
          <w:b/>
        </w:rPr>
        <w:t>E. 2.1</w:t>
      </w:r>
    </w:p>
    <w:p>
      <w:r>
        <w:t>Aderendo alla CEAG, la Svizzera ha posto il principio della doppia punibilità quale condizione all’esecuzione di ogni commissione rogatoria esigente l’applicazione di una qualsiasi misura coercitiva (v. art. 5 n. 1 lett. a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all'art. 64 cpv. 1 AIMP. Nell'ambito dell'esame della doppia punibilità, l'autorità non si scosta dall'e- sposto dei fatti contenuto nella domanda, fatti salvi gli errori, le lacune o al- tre contraddizioni evidenti ed immediatamente rilevati (DTF 132 II 81 con- sid. 2.1; 118 Ib 111 consid 5b). Il Tribunale non deve procedere a un esa- me dei reati e delle norme penali menzionati nella domanda di assistenza, ma deve semplicemente vagliare, limitandosi a un esame "prima facie", se i fatti addotti nella domanda estera - effettuata la dovuta trasposizione - sa- rebbero punibili anche secondo il diritto svizzero, ricordato che la punibilità secondo il diritto svizzero va determinata senza tener conto delle particolari forme di colpa e condizioni di punibilità da questo previste (DTF 124 II 184 consid. 4b/cc; 118 Ib 543 consid. 3b/aa; 116 Ib 89 consid. 3b/bb; 112 Ib 576 consid. 11b/bb). I fatti incriminati non devono forzatamente essere ca- ratterizzati, nelle due legislazioni toccate, dalla medesima qualificazione giuridica (DTF 124 II 184 consid. 4b/cc; TPF 2012 114 consid. 7.4).</w:t>
      </w:r>
    </w:p>
    <w:p>
      <w:r>
        <w:rPr>
          <w:b/>
        </w:rPr>
        <w:t>E. 2.2</w:t>
      </w:r>
    </w:p>
    <w:p>
      <w:r>
        <w:t>Occorre rilevare che quando l'autorità estera inoltra alla Svizzera una do- manda di assistenza in appoggio ad una sua inchiesta per riciclaggio, come è anche il caso nella fattispecie, essa non deve necessariamente apportare la prova della commissione di atti di riciclaggio o del reato presupposto; semplici elementi concreti di sospetto sono sufficienti dal punto di vista del- la doppia punibilità (v. sentenze del Tribunale penale federale RR.2012.139 del 7 febbraio 2013, consid. 3.5 e RR.2008.8 del 23 luglio 2008, con- sid. 2.2.2, con riferimenti; v. ugualmente ROBERT ZIMMERMANN, La coopéra- tion judiciaire internationale en matière pénale, 3a ediz., Berna 2009,</w:t>
      </w:r>
    </w:p>
    <w:p>
      <w:r>
        <w:t>- 6 -</w:t>
      </w:r>
    </w:p>
    <w:p>
      <w:r>
        <w:t>pag. 554 n. 601). Questo è segnatamente il caso in presenza di operazioni sprovviste di giustificazione apparente o di utilizzazione di numerose socie- tà ripartite in più paesi (v. sentenza del Tribunale penale federale RR.2008.96-72 del 14 agosto 2008, consid. 3.3, con riferimenti). L'impor- tanza delle somme oggetto di transazioni sospette costituisce ugualmente un motivo di sospetto di riciclaggio. Tale interpretazione corrisponde alla nozione di assistenza "la più larga possibile" di cui agli art. 1 CEAG, 7 n. 1 e 8 CRic (v. DTF 129 II 97 consid. 3.2).</w:t>
      </w:r>
    </w:p>
    <w:p>
      <w:r>
        <w:rPr>
          <w:b/>
        </w:rPr>
        <w:t>E. 2.3</w:t>
      </w:r>
    </w:p>
    <w:p>
      <w:r>
        <w:t>In concreto, come già accennato in precedenza (v. Fatti, lett. A), lo Stato estero ha evidenziato movimentazioni di capitali dalla Svizzera a San Mari- no, in parte poi scudati in Italia, formalmente e, a suo parere, falsamente, riferiti a A., ma in realtà di proprietà di M., già CFO del gruppo N. Il fatto che su un conto intestato alla ricorrente siano giunti, tramite operazioni che hanno coinvolto più Paesi, ingenti somme di denaro, non compatibili con il suo profilo reddituale e patrimoniale costituisce senz'altro una transazione sospetta ai sensi della sopracitata giurisprudenza (v. consid. 2.2). Gli atti evidenziati e sufficientemente descritti nella domanda di assistenza e nei diversi complementi, sussumibili in diritto svizzero al reato di riciclaggio di denaro ai sensi dell'art. 305bis CP, permettono di affermare che la doppia punibilità è pacificamente data, precisato che nel campo della cosiddetta piccola assistenza le misure di cooperazione sono già ammesse se la con- dizione della doppia punibilità è ossequiata alla luce di una singola fattispe- cie (sentenza del Tribunale federale 1C_138/2007 del 17 luglio 2007, con- sid. 2.3 e rinvii).</w:t>
      </w:r>
    </w:p>
    <w:p>
      <w:r>
        <w:t>A tal proposito, va pure ribadito che l'autorità rogante sta procedendo in Ita- lia nei confronti di B. per titolo di corruzione per un atto contrario ai doveri d'ufficio e riciclaggio. Essa afferma che vi sarebbero forti elementi di ano- malia nell'operazione di acquisto da parte della Provincia di Milano della partecipazione di controllo della società L. SpA con necessità di approfon- dire la destinazione ultima delle somme pagate dall'acquirente ad H. SpA, I. SpA e J. SpA, quale corrispettivo per la cessione del 15% delle azioni della menzionata società autostradale. Infatti, parte dei proventi sarebbero stati trasferiti dalle tre società alla controllante E. SpA e da qui, in limitata parte, su conti svizzeri accesi presso banca D., succursale di Lugano, nel periodo ottobre 2005-novembre 2006. Condirettore di questa agenzia sarebbe sta- to, nel periodo citato, B., il quale nel 2010 sarebbe divenuto membro del consiglio di amministrazione di H. SpA (v. atto 62 incarto MPTI). Il comple- mento rogatoriale del 20 settembre 2013 si inserisce appunto nell'appro- fondimento della destinazione ultima delle somme pagate dalla Provincia di Milano, soprattutto tenuto conto che C. è la madre di B. e che quest'ultimo sarebbe stato nominato amministratore di H. SpA, società del gruppo G., anche per intercessione di M., padre della ricorrente (v. atto 185 MPTI).</w:t>
      </w:r>
    </w:p>
    <w:p>
      <w:r>
        <w:t>- 7 -</w:t>
      </w:r>
    </w:p>
    <w:p>
      <w:r>
        <w:t>Orbene, i fatti appena descritti, oltre ad essere sussumibili ai reati di corru- zione attiva e passiva ai sensi degli art. 322ter e 322quater CP, non possono che rafforzare i sospetti circa l'esistenza di possibili atti di riciclaggio even- tualmente commessi dagli indagati - e quindi anche dalla reclamante - ciò che permette senz'altro di confermare ulteriormente il rispetto del principio della doppia punibilità anche in punto all'ipotesi di corruzione.</w:t>
      </w:r>
    </w:p>
    <w:p>
      <w:r>
        <w:rPr>
          <w:b/>
        </w:rPr>
        <w:t>E. 3</w:t>
      </w:r>
    </w:p>
    <w:p>
      <w:r>
        <w:t>La ricorrente afferma che la rogatoria italiana costituirebbe in realtà una ri- cerca indiscriminata di mezzi di prova. Sulle tracce dei movimenti finanziari riconducibili a B. e a sua madre C., l'autorità estera si sarebbe imbattuta, in maniera del tutto casuale, nella relazione bancaria sanmarinese cointestata anche a A.</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estere chiedono informazioni su conti bancari nell'ambito di procedimenti come quello qui in esame, esse necessitano di regola di tutti 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 tresì l'inoltro di eventuali domande complementari (DTF 136 IV 82 con- 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luglio</w:t>
      </w:r>
    </w:p>
    <w:p>
      <w:r>
        <w:t>- 8 -</w:t>
      </w:r>
    </w:p>
    <w:p>
      <w:r>
        <w:t>2007, consid. 2.1.3; 1A.227/2006 del 22 febbraio 2007, consid. 3.2; 1A.195/2005 del 1° settembre 2005 in fine; 1A.79/2005 del 27 aprile 2005, consid. 4.1). In base alla giurisprudenza l'esame va quindi limitato alla co- siddetta utilità potenziale, secondo cui la consegna giusta l'art. 74 AIMP è esclusa soltanto per quei mezzi di prova certamente privi di rilevanza per il procedimento penale all'estero (DTF 126 II 258 consid. 9c; 122 II 367 con- sid. 2c; 121 II 241 consid. 3a e b). Vietata in particolare è la cosiddetta “fi- shing expedition”, la quale è definita dalla giurisprudenza una ricerca gene- rale ed indeterminata di mezzi di prova volta a fondare un sospetto senza che esistano pregressi elementi concreti a sostegno dello stesso (DTF 125 II 65 consid. 6b/aa e rinvii). Questo genere di inchieste non è consentito in ambito di assistenza giudiziaria internazionale sia alla luce del principio del- la proporzionalità che di quello della specialità. Tale divieto si fonda sempli- cemente sul fatto che è inammissibile procedere a casaccio nella raccolta delle prove (DTF 113 I 257 consid. 5c).</w:t>
      </w:r>
    </w:p>
    <w:p>
      <w:r>
        <w:rPr>
          <w:b/>
        </w:rPr>
        <w:t>E. 3.2</w:t>
      </w:r>
    </w:p>
    <w:p>
      <w:r>
        <w:t>Nella fattispecie, l'autorità rogante intende fare luce sull'acquisto, avvenuto ad un prezzo esorbitante, da parte della Provincia di Milano delle azioni di L. SpA, in particolare sulla destinazione del denaro versato per il pagamen- to. Orbene, si ribadisce che parte dei soldi sarebbero stati trasferiti da H. SpA, I. SpA e J. SpA alla controllante E. SpA e da qui, in limitata parte, a conti svizzeri accesi presso banca D., a Lugano, nel periodo ottobre 2005- novembre 2006. Condirettore di questa agenzia sarebbe stato, nel periodo citato, B., il quale nel 2010 sarebbe divenuto membro del consiglio di am- ministrazione di H. SpA. Tale situazione merita indubbiamente approfondi- menti. La documentazione bancaria oggetto della decisione impugnata po- trebbe fornire elementi utili all'inchiesta italiana, nella misura in cui una somma di EUR 3'200'000 è stata bonificata dal conto n. 3, intestata alla re- clamante, a favore della gestione patrimoniale n. 1 presso la banca R. lega- ta al mandato fiduciario denominato "S" cointestato alla reclamante e a C., madre di B. Da quest'ultima relazione, attraverso un passaggio sulla ge- stione patrimoniale n. 2 ed il ricorso allo "scudo fiscale ter", sarebbero stati trasferiti in Italia strumenti finanziari per un importo di EUR 514'813 a favo- re di A. e EUR 2'335'000 a favore di C., entrambe con un profilo reddituale e patrimoniale incompatibile con le somme rimpatriate. Vi sarebbe poi una testimonianza in Italia che permetterebbe di evidenziare dei legami tra B. ed il padre della reclamante, M.. Quest'ultimo infatti avrebbe contribuito alla nomina di B. quale amministratore di H. SpA, società del gruppo G.. Le in- dagini avrebbero inoltre permesso di rinvenire polizze assicurative formal- mente intestate a O., ma aventi come disponente C. e come beneficiari P., figlio di B. e Q., figlia di F., amministratore di E. SpA, costituite attraverso denaro apparentemente riferibile a C., ma in realtà incompatibili con i reddi- ti e patrimoni propri e/o del defunto marito (v. atto 62 e 71 incarto MPTI). In definitiva, tenuto conto degli elementi appena elencati, i quali non permet-</w:t>
      </w:r>
    </w:p>
    <w:p>
      <w:r>
        <w:t>- 9 -</w:t>
      </w:r>
    </w:p>
    <w:p>
      <w:r>
        <w:t>tono di certo di affermare che l'autorità rogante si stia muovendo a casaccio nella raccolta di prove, la trasmissione della documentazione bancaria og- getto delle decisione impugnata, la cui utilità potenziale non può essere e- sclusa, appare giustificata, ciò che permetterà alle autorità inquirenti italia- ne di verificare soprattutto se denaro legato alla vendita asseritamente vi- ziata da corruzione sia confluito sul conto della reclamante o altrove. Alla luce della sopraccitata giurisprudenza (v. consid. 3.1), vista la natura dei reati perseguiti in Italia, tutta la documentazione relativa ai conti della ricor- rente è potenzialmente utile per le indagini, in quanto destinata a permette- re la ricostruzione complessiva di tutti i movimenti di denaro susseguenti al- la vendita delle azioni di L. SpA. A tal proposito, occorre ricordare che il principio dell'utilità potenziale assume un ruolo cruciale nell'applicazione del principio della proporzionalità nell'ambito dell'assistenza in materia pe- 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 zialmente idonei alle indagini estere, al fine di chiarire in tutti i suoi aspetti i meccanismi delittuosi perseguiti nello Stato rogante (sentenze del Tribuna- le penale federale RR.2010.173 del 13 ottobre 2010, consid. 4.2.4/a e RR.2009.320 del 2 febbraio 2010, consid. 4.1; ROBERT ZIMMERMANN, op. cit., n. 722, p. 673 e seg.).</w:t>
      </w:r>
    </w:p>
    <w:p>
      <w:r>
        <w:t>Quanto precede permette di confermare la sufficiente relazione tra le misu- re d'assistenza richieste e l'oggetto del procedimento penale estero, spet- tando comunque al giudice estero del merito valutare se dalla documenta- zione sequestrata emerge in concreto una connessione penalmente rile- vante fra i fatti perseguiti all'estero e la relazioni bancaria della ricorrente. Vi è quindi da concludere che la domanda di assistenza estera non viola il principio della proporzionalità.</w:t>
      </w:r>
    </w:p>
    <w:p>
      <w:r>
        <w:rPr>
          <w:b/>
        </w:rPr>
        <w:t>E. 4</w:t>
      </w:r>
    </w:p>
    <w:p>
      <w:r>
        <w:t>Visto quanto precede, la decisione impugnata va integralmente confermata ed il gravame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